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A7435" w14:textId="77777777" w:rsidR="003C3F7B" w:rsidRDefault="00000000">
      <w:pPr>
        <w:spacing w:after="200"/>
      </w:pPr>
      <w:r>
        <w:rPr>
          <w:rFonts w:ascii="Arial" w:eastAsia="Arial" w:hAnsi="Arial" w:cs="Arial"/>
          <w:b/>
          <w:bCs/>
          <w:color w:val="0077B6"/>
          <w:sz w:val="34"/>
          <w:szCs w:val="34"/>
        </w:rPr>
        <w:t xml:space="preserve">Hierarchical Demand Forecasting at Walmart: Evaluating Reconciliation Methods with Empirical Risk </w:t>
      </w:r>
      <w:proofErr w:type="spellStart"/>
      <w:r>
        <w:rPr>
          <w:rFonts w:ascii="Arial" w:eastAsia="Arial" w:hAnsi="Arial" w:cs="Arial"/>
          <w:b/>
          <w:bCs/>
          <w:color w:val="0077B6"/>
          <w:sz w:val="34"/>
          <w:szCs w:val="34"/>
        </w:rPr>
        <w:t>Minimisation</w:t>
      </w:r>
      <w:proofErr w:type="spellEnd"/>
    </w:p>
    <w:p w14:paraId="4B98E20E" w14:textId="77777777" w:rsidR="003C3F7B" w:rsidRDefault="00000000">
      <w:pPr>
        <w:spacing w:after="60"/>
      </w:pPr>
      <w:r>
        <w:rPr>
          <w:rFonts w:ascii="Arial" w:eastAsia="Arial" w:hAnsi="Arial" w:cs="Arial"/>
          <w:b/>
          <w:bCs/>
          <w:color w:val="222222"/>
          <w:sz w:val="24"/>
          <w:szCs w:val="24"/>
        </w:rPr>
        <w:t>Mahmudul Hasan Rohan</w:t>
      </w:r>
    </w:p>
    <w:p w14:paraId="432513E5" w14:textId="77777777" w:rsidR="003C3F7B" w:rsidRDefault="00000000">
      <w:pPr>
        <w:spacing w:after="60"/>
      </w:pPr>
      <w:r>
        <w:rPr>
          <w:i/>
          <w:iCs/>
          <w:color w:val="555555"/>
          <w:sz w:val="20"/>
          <w:szCs w:val="20"/>
        </w:rPr>
        <w:t xml:space="preserve">Department of Industrial and Production Engineering, </w:t>
      </w:r>
      <w:proofErr w:type="spellStart"/>
      <w:r>
        <w:rPr>
          <w:i/>
          <w:iCs/>
          <w:color w:val="555555"/>
          <w:sz w:val="20"/>
          <w:szCs w:val="20"/>
        </w:rPr>
        <w:t>Jashore</w:t>
      </w:r>
      <w:proofErr w:type="spellEnd"/>
      <w:r>
        <w:rPr>
          <w:i/>
          <w:iCs/>
          <w:color w:val="555555"/>
          <w:sz w:val="20"/>
          <w:szCs w:val="20"/>
        </w:rPr>
        <w:t xml:space="preserve"> University of Science and Technology, </w:t>
      </w:r>
      <w:proofErr w:type="spellStart"/>
      <w:r>
        <w:rPr>
          <w:i/>
          <w:iCs/>
          <w:color w:val="555555"/>
          <w:sz w:val="20"/>
          <w:szCs w:val="20"/>
        </w:rPr>
        <w:t>Jashore</w:t>
      </w:r>
      <w:proofErr w:type="spellEnd"/>
      <w:r>
        <w:rPr>
          <w:i/>
          <w:iCs/>
          <w:color w:val="555555"/>
          <w:sz w:val="20"/>
          <w:szCs w:val="20"/>
        </w:rPr>
        <w:t xml:space="preserve"> 7408, Bangladesh</w:t>
      </w:r>
    </w:p>
    <w:p w14:paraId="007905BF" w14:textId="5D9888F6" w:rsidR="003C3F7B" w:rsidRDefault="00000000">
      <w:pPr>
        <w:spacing w:after="60"/>
      </w:pPr>
      <w:r>
        <w:rPr>
          <w:color w:val="555555"/>
          <w:sz w:val="20"/>
          <w:szCs w:val="20"/>
        </w:rPr>
        <w:t>Correspondence:</w:t>
      </w:r>
      <w:r w:rsidR="002921AD">
        <w:rPr>
          <w:color w:val="555555"/>
          <w:sz w:val="20"/>
          <w:szCs w:val="20"/>
        </w:rPr>
        <w:t xml:space="preserve"> </w:t>
      </w:r>
      <w:hyperlink r:id="rId5" w:history="1">
        <w:r w:rsidR="002921AD" w:rsidRPr="009D3C20">
          <w:rPr>
            <w:rStyle w:val="Hyperlink"/>
            <w:sz w:val="20"/>
            <w:szCs w:val="20"/>
          </w:rPr>
          <w:t>rohanovro756@gmail.com</w:t>
        </w:r>
      </w:hyperlink>
      <w:r w:rsidR="002921AD">
        <w:rPr>
          <w:color w:val="555555"/>
          <w:sz w:val="20"/>
          <w:szCs w:val="20"/>
        </w:rPr>
        <w:br/>
      </w:r>
    </w:p>
    <w:p w14:paraId="0E0FC717" w14:textId="77777777" w:rsidR="003C3F7B" w:rsidRDefault="003C3F7B">
      <w:pPr>
        <w:pBdr>
          <w:bottom w:val="single" w:sz="6" w:space="1" w:color="0077B6"/>
        </w:pBdr>
        <w:spacing w:after="200"/>
      </w:pPr>
    </w:p>
    <w:p w14:paraId="0E557FF8" w14:textId="77777777" w:rsidR="003C3F7B" w:rsidRDefault="00000000">
      <w:pPr>
        <w:spacing w:after="120"/>
        <w:jc w:val="both"/>
      </w:pPr>
      <w:r>
        <w:rPr>
          <w:rFonts w:ascii="Arial" w:eastAsia="Arial" w:hAnsi="Arial" w:cs="Arial"/>
          <w:b/>
          <w:bCs/>
          <w:color w:val="0077B6"/>
        </w:rPr>
        <w:t xml:space="preserve">Abstract: </w:t>
      </w:r>
      <w:r>
        <w:rPr>
          <w:color w:val="222222"/>
        </w:rPr>
        <w:t xml:space="preserve">Hierarchical time series forecasting requires predictions that are coherent across all aggregation levels. This study applies and evaluates four reconciliation methods—Bottom-Up (BU), Top-Down (TD), Store-Level Proportional Disaggregation (SLPD), and Empirical Risk </w:t>
      </w:r>
      <w:proofErr w:type="spellStart"/>
      <w:r>
        <w:rPr>
          <w:color w:val="222222"/>
        </w:rPr>
        <w:t>Minimisation</w:t>
      </w:r>
      <w:proofErr w:type="spellEnd"/>
      <w:r>
        <w:rPr>
          <w:color w:val="222222"/>
        </w:rPr>
        <w:t xml:space="preserve"> (ERM)—on the Walmart Store Sales dataset comprising 421,570 weekly observations across 45 stores and 81 departments (February 2010 to October 2012). A Gradient Boosting Machine (GBM) with strict walk-forward cross-validation serves as the base forecaster. All reconciliation weights are computed exclusively from training-period data, ensuring no test-period leakage. Statistical significance is assessed using a Diebold–Mariano test with Newey–West HAC-corrected variance to account for serial correlation in weekly forecast errors. ERM achieves hierarchical coherence with a negligible 1.9% increase in department-level RMSE over the incoherent base model ($3,044 vs. $2,987), while other reconciliation methods degrade department-level accuracy by over 50%. ERM is statistically significantly better than Bottom-Up at department level (DM = −3.228, p = 0.0012) and achieves the best store-level RMSE ($55,613; 2.7% improvement) and chain-level RMSE ($932,247; 6.8% improvement). Top-Down and SLPD both substantially degrade department-level accuracy, confirming that coarse historical proportions are insufficient for heterogeneous retail demand series. An inventory cost simulation further illustrates the practical downstream implications of reconciliation method choice. The complete pipeline is open-source and fully reproducible.</w:t>
      </w:r>
    </w:p>
    <w:p w14:paraId="011B12EE" w14:textId="77777777" w:rsidR="003C3F7B" w:rsidRDefault="00000000">
      <w:pPr>
        <w:spacing w:after="200"/>
      </w:pPr>
      <w:r>
        <w:rPr>
          <w:rFonts w:ascii="Arial" w:eastAsia="Arial" w:hAnsi="Arial" w:cs="Arial"/>
          <w:b/>
          <w:bCs/>
          <w:color w:val="0077B6"/>
        </w:rPr>
        <w:t xml:space="preserve">Keywords: </w:t>
      </w:r>
      <w:r>
        <w:rPr>
          <w:color w:val="222222"/>
        </w:rPr>
        <w:t xml:space="preserve">hierarchical forecasting; demand forecasting; forecast reconciliation; empirical risk </w:t>
      </w:r>
      <w:proofErr w:type="spellStart"/>
      <w:r>
        <w:rPr>
          <w:color w:val="222222"/>
        </w:rPr>
        <w:t>minimisation</w:t>
      </w:r>
      <w:proofErr w:type="spellEnd"/>
      <w:r>
        <w:rPr>
          <w:color w:val="222222"/>
        </w:rPr>
        <w:t>; gradient boosting; Walmart; retail demand; supply chain; inventory management; Diebold–Mariano test; proportional disaggregation</w:t>
      </w:r>
    </w:p>
    <w:p w14:paraId="06B1F308" w14:textId="77777777" w:rsidR="003C3F7B" w:rsidRDefault="003C3F7B">
      <w:pPr>
        <w:pBdr>
          <w:bottom w:val="single" w:sz="6" w:space="1" w:color="0077B6"/>
        </w:pBdr>
        <w:spacing w:after="200"/>
      </w:pPr>
    </w:p>
    <w:p w14:paraId="73C520B8" w14:textId="77777777" w:rsidR="003C3F7B" w:rsidRDefault="00000000">
      <w:pPr>
        <w:pBdr>
          <w:bottom w:val="single" w:sz="4" w:space="4" w:color="0077B6"/>
        </w:pBdr>
        <w:spacing w:before="240" w:after="120"/>
      </w:pPr>
      <w:r>
        <w:rPr>
          <w:rFonts w:ascii="Arial" w:eastAsia="Arial" w:hAnsi="Arial" w:cs="Arial"/>
          <w:b/>
          <w:bCs/>
          <w:color w:val="0077B6"/>
          <w:sz w:val="26"/>
          <w:szCs w:val="26"/>
        </w:rPr>
        <w:t>1. Introduction</w:t>
      </w:r>
    </w:p>
    <w:p w14:paraId="6C851BA1" w14:textId="77777777" w:rsidR="003C3F7B" w:rsidRDefault="00000000">
      <w:pPr>
        <w:spacing w:before="80" w:after="120" w:line="276" w:lineRule="auto"/>
        <w:jc w:val="both"/>
      </w:pPr>
      <w:r>
        <w:rPr>
          <w:color w:val="222222"/>
        </w:rPr>
        <w:t xml:space="preserve">Accurate demand forecasting is a cornerstone of effective retail supply chain management. In large retail enterprises such as Walmart, forecasts must be generated simultaneously across multiple aggregation levels—individual store–department pairs, stores, and the entire chain—to support inventory replenishment, workforce planning, and procurement decisions [1,2]. A fundamental challenge in hierarchical forecasting is coherence: the property that lower-level forecasts sum exactly to higher-level forecasts. When independent models are fitted at each level, this property is violated, producing incoherent forecast sets that create conflicting signals across the </w:t>
      </w:r>
      <w:proofErr w:type="spellStart"/>
      <w:r>
        <w:rPr>
          <w:color w:val="222222"/>
        </w:rPr>
        <w:t>organisation</w:t>
      </w:r>
      <w:proofErr w:type="spellEnd"/>
      <w:r>
        <w:rPr>
          <w:color w:val="222222"/>
        </w:rPr>
        <w:t xml:space="preserve"> [3,4].</w:t>
      </w:r>
    </w:p>
    <w:p w14:paraId="4981DD8F" w14:textId="77777777" w:rsidR="003C3F7B" w:rsidRDefault="00000000">
      <w:pPr>
        <w:spacing w:before="80" w:after="120" w:line="276" w:lineRule="auto"/>
        <w:jc w:val="both"/>
      </w:pPr>
      <w:r>
        <w:rPr>
          <w:color w:val="222222"/>
        </w:rPr>
        <w:t xml:space="preserve">Forecast reconciliation is the process of adjusting a set of base forecasts to satisfy the hierarchical summing constraints. A rich body of literature has emerged on this topic, beginning with the classical Bottom-Up (BU) and Top-Down (TD) approaches and progressing to optimal combination methods [5,6,7]. The </w:t>
      </w:r>
      <w:proofErr w:type="spellStart"/>
      <w:r>
        <w:rPr>
          <w:color w:val="222222"/>
        </w:rPr>
        <w:t>MinT</w:t>
      </w:r>
      <w:proofErr w:type="spellEnd"/>
      <w:r>
        <w:rPr>
          <w:color w:val="222222"/>
        </w:rPr>
        <w:t xml:space="preserve"> (Minimum Trace) estimator of </w:t>
      </w:r>
      <w:proofErr w:type="spellStart"/>
      <w:r>
        <w:rPr>
          <w:color w:val="222222"/>
        </w:rPr>
        <w:t>Wickramasuriya</w:t>
      </w:r>
      <w:proofErr w:type="spellEnd"/>
      <w:r>
        <w:rPr>
          <w:color w:val="222222"/>
        </w:rPr>
        <w:t xml:space="preserve"> et al. [8] provides a theoretically optimal reconciliation by </w:t>
      </w:r>
      <w:proofErr w:type="spellStart"/>
      <w:r>
        <w:rPr>
          <w:color w:val="222222"/>
        </w:rPr>
        <w:t>minimising</w:t>
      </w:r>
      <w:proofErr w:type="spellEnd"/>
      <w:r>
        <w:rPr>
          <w:color w:val="222222"/>
        </w:rPr>
        <w:t xml:space="preserve"> the trace of the reconciled forecast error covariance matrix, and has demonstrated consistent performance improvements across diverse datasets [9,10]. More recently, machine learning approaches have been proposed to learn reconciliation weights directly from data </w:t>
      </w:r>
      <w:r>
        <w:rPr>
          <w:color w:val="222222"/>
        </w:rPr>
        <w:lastRenderedPageBreak/>
        <w:t>[11,12,13], motivated by the observation that fixed structural assumptions may be overly restrictive for heterogeneous retail time series.</w:t>
      </w:r>
    </w:p>
    <w:p w14:paraId="161D8A59" w14:textId="77777777" w:rsidR="003C3F7B" w:rsidRDefault="00000000">
      <w:pPr>
        <w:spacing w:before="80" w:after="120" w:line="276" w:lineRule="auto"/>
        <w:jc w:val="both"/>
      </w:pPr>
      <w:r>
        <w:rPr>
          <w:color w:val="222222"/>
        </w:rPr>
        <w:t>The Walmart Store Sales dataset [14] provides an ideal empirical testbed: 45 stores, 81 departments, approximately 3,331 unique store–department pairs, and 138 weeks of weekly sales data including external covariates such as temperature, fuel prices, consumer price index (CPI), unemployment, and promotional markdowns. This dataset presents significant modelling challenges including high cross-sectional heterogeneity, near-zero-sales series, holiday demand spikes, and promotional effects, making it representative of real-world retail forecasting environments [15,16].</w:t>
      </w:r>
    </w:p>
    <w:p w14:paraId="0651322E" w14:textId="77777777" w:rsidR="003C3F7B" w:rsidRDefault="00000000">
      <w:pPr>
        <w:spacing w:before="80" w:after="80" w:line="276" w:lineRule="auto"/>
        <w:jc w:val="both"/>
      </w:pPr>
      <w:r>
        <w:rPr>
          <w:color w:val="222222"/>
        </w:rPr>
        <w:t>We make the following four contributions to the hierarchical forecasting literature:</w:t>
      </w:r>
    </w:p>
    <w:p w14:paraId="73FECAE0" w14:textId="77777777" w:rsidR="003C3F7B" w:rsidRDefault="00000000">
      <w:pPr>
        <w:spacing w:before="60" w:after="60"/>
        <w:ind w:left="400"/>
        <w:jc w:val="both"/>
      </w:pPr>
      <w:r>
        <w:rPr>
          <w:color w:val="222222"/>
        </w:rPr>
        <w:t>(1)  A complete, reproducible 8-phase pipeline implementing four reconciliation methods on the Walmart dataset, with strict temporal cross-validation and no data leakage in the reconciliation step.</w:t>
      </w:r>
    </w:p>
    <w:p w14:paraId="10B9EE1C" w14:textId="77777777" w:rsidR="003C3F7B" w:rsidRDefault="00000000">
      <w:pPr>
        <w:spacing w:before="60" w:after="60"/>
        <w:ind w:left="400"/>
        <w:jc w:val="both"/>
      </w:pPr>
      <w:r>
        <w:rPr>
          <w:color w:val="222222"/>
        </w:rPr>
        <w:t>(2)  A correct ERM implementation where per-store–department Ridge regression weights are fitted on training-period residuals and applied to held-out test forecasts—distinguishing it from naïve in-sample calibration.</w:t>
      </w:r>
    </w:p>
    <w:p w14:paraId="47F07007" w14:textId="77777777" w:rsidR="003C3F7B" w:rsidRDefault="00000000">
      <w:pPr>
        <w:spacing w:before="60" w:after="60"/>
        <w:ind w:left="400"/>
        <w:jc w:val="both"/>
      </w:pPr>
      <w:r>
        <w:rPr>
          <w:color w:val="222222"/>
        </w:rPr>
        <w:t xml:space="preserve">(3)  Statistical significance testing using a Diebold–Mariano (DM) test with Newey–West HAC-corrected variance, appropriate for autocorrelated weekly forecast errors, rather than the commonly misused </w:t>
      </w:r>
      <w:proofErr w:type="spellStart"/>
      <w:r>
        <w:rPr>
          <w:color w:val="222222"/>
        </w:rPr>
        <w:t>i.i.d.</w:t>
      </w:r>
      <w:proofErr w:type="spellEnd"/>
      <w:r>
        <w:rPr>
          <w:color w:val="222222"/>
        </w:rPr>
        <w:t xml:space="preserve"> t-test.</w:t>
      </w:r>
    </w:p>
    <w:p w14:paraId="6E069DCC" w14:textId="77777777" w:rsidR="003C3F7B" w:rsidRDefault="00000000">
      <w:pPr>
        <w:spacing w:before="60" w:after="60"/>
        <w:ind w:left="400"/>
        <w:jc w:val="both"/>
      </w:pPr>
      <w:r>
        <w:rPr>
          <w:color w:val="222222"/>
        </w:rPr>
        <w:t>(4)  An inventory cost simulation illustrating the practical downstream implications of reconciliation method choice on safety stock, holding costs, and stockout costs.</w:t>
      </w:r>
    </w:p>
    <w:p w14:paraId="0EE09279" w14:textId="77777777" w:rsidR="003C3F7B" w:rsidRDefault="003C3F7B">
      <w:pPr>
        <w:spacing w:after="80"/>
      </w:pPr>
    </w:p>
    <w:p w14:paraId="585FED12" w14:textId="77777777" w:rsidR="003C3F7B" w:rsidRDefault="00000000">
      <w:pPr>
        <w:spacing w:before="80" w:after="160" w:line="276" w:lineRule="auto"/>
        <w:jc w:val="both"/>
      </w:pPr>
      <w:r>
        <w:rPr>
          <w:color w:val="222222"/>
        </w:rPr>
        <w:t>The remainder of the paper is structured as follows. Section 2 reviews related literature. Section 3 describes the dataset and data processing. Section 4 details the forecasting and reconciliation methodology. Section 5 presents experimental results and statistical analysis. Section 6 discusses the inventory cost simulation. Section 7 discusses findings and limitations. Section 8 concludes with directions for future work.</w:t>
      </w:r>
    </w:p>
    <w:p w14:paraId="73169F75" w14:textId="77777777" w:rsidR="003C3F7B" w:rsidRDefault="00000000">
      <w:pPr>
        <w:pBdr>
          <w:bottom w:val="single" w:sz="4" w:space="4" w:color="0077B6"/>
        </w:pBdr>
        <w:spacing w:before="240" w:after="120"/>
      </w:pPr>
      <w:r>
        <w:rPr>
          <w:rFonts w:ascii="Arial" w:eastAsia="Arial" w:hAnsi="Arial" w:cs="Arial"/>
          <w:b/>
          <w:bCs/>
          <w:color w:val="0077B6"/>
          <w:sz w:val="26"/>
          <w:szCs w:val="26"/>
        </w:rPr>
        <w:t>2. Literature Review</w:t>
      </w:r>
    </w:p>
    <w:p w14:paraId="45F03620" w14:textId="77777777" w:rsidR="003C3F7B" w:rsidRDefault="00000000">
      <w:pPr>
        <w:spacing w:before="180" w:after="80"/>
      </w:pPr>
      <w:r>
        <w:rPr>
          <w:rFonts w:ascii="Arial" w:eastAsia="Arial" w:hAnsi="Arial" w:cs="Arial"/>
          <w:b/>
          <w:bCs/>
          <w:color w:val="0077B6"/>
          <w:sz w:val="23"/>
          <w:szCs w:val="23"/>
        </w:rPr>
        <w:t>2.1. Hierarchical Time Series Forecasting</w:t>
      </w:r>
    </w:p>
    <w:p w14:paraId="2B5955C0" w14:textId="77777777" w:rsidR="003C3F7B" w:rsidRDefault="00000000">
      <w:pPr>
        <w:spacing w:before="80" w:after="100" w:line="276" w:lineRule="auto"/>
        <w:jc w:val="both"/>
      </w:pPr>
      <w:r>
        <w:rPr>
          <w:color w:val="222222"/>
        </w:rPr>
        <w:t>Hierarchical time series (HTS) arise naturally in business and economics wherever data can be disaggregated at multiple levels [3]. Early reconciliation approaches were structural: Bottom-Up aggregation [5] and Top-Down disaggregation using historical proportions [6] or forecasted proportions [17]. Athanasopoulos et al. [18] provided a comprehensive comparison of these approaches and showed that neither uniformly dominates across datasets and hierarchies.</w:t>
      </w:r>
    </w:p>
    <w:p w14:paraId="1D3B5E59" w14:textId="77777777" w:rsidR="003C3F7B" w:rsidRDefault="00000000">
      <w:pPr>
        <w:spacing w:before="80" w:after="100" w:line="276" w:lineRule="auto"/>
        <w:jc w:val="both"/>
      </w:pPr>
      <w:r>
        <w:rPr>
          <w:color w:val="222222"/>
        </w:rPr>
        <w:t xml:space="preserve">Hyndman et al. [7] proposed the optimal combination approach, showing that any set of base forecasts can be reconciled by solving a constrained least squares problem. This framework was extended by </w:t>
      </w:r>
      <w:proofErr w:type="spellStart"/>
      <w:r>
        <w:rPr>
          <w:color w:val="222222"/>
        </w:rPr>
        <w:t>Wickramasuriya</w:t>
      </w:r>
      <w:proofErr w:type="spellEnd"/>
      <w:r>
        <w:rPr>
          <w:color w:val="222222"/>
        </w:rPr>
        <w:t xml:space="preserve"> et al. [8] to the </w:t>
      </w:r>
      <w:proofErr w:type="spellStart"/>
      <w:r>
        <w:rPr>
          <w:color w:val="222222"/>
        </w:rPr>
        <w:t>MinT</w:t>
      </w:r>
      <w:proofErr w:type="spellEnd"/>
      <w:r>
        <w:rPr>
          <w:color w:val="222222"/>
        </w:rPr>
        <w:t xml:space="preserve"> estimator, which uses the in-sample residual covariance matrix to produce minimum-trace reconciled forecasts. </w:t>
      </w:r>
      <w:proofErr w:type="spellStart"/>
      <w:r>
        <w:rPr>
          <w:color w:val="222222"/>
        </w:rPr>
        <w:t>Panagiotelis</w:t>
      </w:r>
      <w:proofErr w:type="spellEnd"/>
      <w:r>
        <w:rPr>
          <w:color w:val="222222"/>
        </w:rPr>
        <w:t xml:space="preserve"> et al. [19] provided a geometric interpretation of reconciliation, unifying BU, TD, and optimal combination within a single projection framework.</w:t>
      </w:r>
    </w:p>
    <w:p w14:paraId="099F4DA2" w14:textId="77777777" w:rsidR="003C3F7B" w:rsidRDefault="00000000">
      <w:pPr>
        <w:spacing w:before="180" w:after="80"/>
      </w:pPr>
      <w:r>
        <w:rPr>
          <w:rFonts w:ascii="Arial" w:eastAsia="Arial" w:hAnsi="Arial" w:cs="Arial"/>
          <w:b/>
          <w:bCs/>
          <w:color w:val="0077B6"/>
          <w:sz w:val="23"/>
          <w:szCs w:val="23"/>
        </w:rPr>
        <w:t>2.2. Machine Learning for Reconciliation</w:t>
      </w:r>
    </w:p>
    <w:p w14:paraId="3F71F666" w14:textId="77777777" w:rsidR="003C3F7B" w:rsidRDefault="00000000">
      <w:pPr>
        <w:spacing w:before="80" w:after="100" w:line="276" w:lineRule="auto"/>
        <w:jc w:val="both"/>
      </w:pPr>
      <w:r>
        <w:rPr>
          <w:color w:val="222222"/>
        </w:rPr>
        <w:t xml:space="preserve">The application of machine learning to forecast reconciliation is a rapidly developing area. </w:t>
      </w:r>
      <w:proofErr w:type="spellStart"/>
      <w:r>
        <w:rPr>
          <w:color w:val="222222"/>
        </w:rPr>
        <w:t>Taieb</w:t>
      </w:r>
      <w:proofErr w:type="spellEnd"/>
      <w:r>
        <w:rPr>
          <w:color w:val="222222"/>
        </w:rPr>
        <w:t xml:space="preserve"> and Hyndman [11] proposed the SHARQ framework, treating reconciliation as an empirical risk </w:t>
      </w:r>
      <w:proofErr w:type="spellStart"/>
      <w:r>
        <w:rPr>
          <w:color w:val="222222"/>
        </w:rPr>
        <w:t>minimisation</w:t>
      </w:r>
      <w:proofErr w:type="spellEnd"/>
      <w:r>
        <w:rPr>
          <w:color w:val="222222"/>
        </w:rPr>
        <w:t xml:space="preserve"> problem and learning reconciliation weights via </w:t>
      </w:r>
      <w:proofErr w:type="spellStart"/>
      <w:r>
        <w:rPr>
          <w:color w:val="222222"/>
        </w:rPr>
        <w:t>regularised</w:t>
      </w:r>
      <w:proofErr w:type="spellEnd"/>
      <w:r>
        <w:rPr>
          <w:color w:val="222222"/>
        </w:rPr>
        <w:t xml:space="preserve"> regression on training-period residuals. This is the methodological antecedent to the ERM approach evaluated in this study. </w:t>
      </w:r>
      <w:proofErr w:type="spellStart"/>
      <w:r>
        <w:rPr>
          <w:color w:val="222222"/>
        </w:rPr>
        <w:t>Rangapuram</w:t>
      </w:r>
      <w:proofErr w:type="spellEnd"/>
      <w:r>
        <w:rPr>
          <w:color w:val="222222"/>
        </w:rPr>
        <w:t xml:space="preserve"> et al. [20] proposed an end-to-end learning framework that directly </w:t>
      </w:r>
      <w:proofErr w:type="spellStart"/>
      <w:r>
        <w:rPr>
          <w:color w:val="222222"/>
        </w:rPr>
        <w:t>optimises</w:t>
      </w:r>
      <w:proofErr w:type="spellEnd"/>
      <w:r>
        <w:rPr>
          <w:color w:val="222222"/>
        </w:rPr>
        <w:t xml:space="preserve"> coherence constraints within neural hierarchical forecasting models. Olivares et al. [21] demonstrated that the </w:t>
      </w:r>
      <w:proofErr w:type="spellStart"/>
      <w:r>
        <w:rPr>
          <w:color w:val="222222"/>
        </w:rPr>
        <w:t>Nixtla</w:t>
      </w:r>
      <w:proofErr w:type="spellEnd"/>
      <w:r>
        <w:rPr>
          <w:color w:val="222222"/>
        </w:rPr>
        <w:t xml:space="preserve"> </w:t>
      </w:r>
      <w:proofErr w:type="spellStart"/>
      <w:r>
        <w:rPr>
          <w:color w:val="222222"/>
        </w:rPr>
        <w:t>hierarchicalforecast</w:t>
      </w:r>
      <w:proofErr w:type="spellEnd"/>
      <w:r>
        <w:rPr>
          <w:color w:val="222222"/>
        </w:rPr>
        <w:t xml:space="preserve"> library provides efficient implementations of </w:t>
      </w:r>
      <w:proofErr w:type="spellStart"/>
      <w:r>
        <w:rPr>
          <w:color w:val="222222"/>
        </w:rPr>
        <w:t>MinT</w:t>
      </w:r>
      <w:proofErr w:type="spellEnd"/>
      <w:r>
        <w:rPr>
          <w:color w:val="222222"/>
        </w:rPr>
        <w:t xml:space="preserve"> variants and data-driven methods at scale.</w:t>
      </w:r>
    </w:p>
    <w:p w14:paraId="120689E3" w14:textId="77777777" w:rsidR="003C3F7B" w:rsidRDefault="00000000">
      <w:pPr>
        <w:spacing w:before="80" w:after="100" w:line="276" w:lineRule="auto"/>
        <w:jc w:val="both"/>
      </w:pPr>
      <w:r>
        <w:rPr>
          <w:color w:val="222222"/>
        </w:rPr>
        <w:t xml:space="preserve">For retail demand specifically, Fildes et al. [22] showed that machine learning models consistently outperform statistical baselines when external promotional and price variables are included. </w:t>
      </w:r>
      <w:proofErr w:type="spellStart"/>
      <w:r>
        <w:rPr>
          <w:color w:val="222222"/>
        </w:rPr>
        <w:t>Makridakis</w:t>
      </w:r>
      <w:proofErr w:type="spellEnd"/>
      <w:r>
        <w:rPr>
          <w:color w:val="222222"/>
        </w:rPr>
        <w:t xml:space="preserve"> et al. [23] and the M5 competition results [24] demonstrated that gradient boosting methods achieve top performance on large-scale retail hierarchies, confirming the choice of GBM as a base forecaster in this study.</w:t>
      </w:r>
    </w:p>
    <w:p w14:paraId="1FE49359" w14:textId="77777777" w:rsidR="003C3F7B" w:rsidRDefault="00000000">
      <w:pPr>
        <w:spacing w:before="180" w:after="80"/>
      </w:pPr>
      <w:r>
        <w:rPr>
          <w:rFonts w:ascii="Arial" w:eastAsia="Arial" w:hAnsi="Arial" w:cs="Arial"/>
          <w:b/>
          <w:bCs/>
          <w:color w:val="0077B6"/>
          <w:sz w:val="23"/>
          <w:szCs w:val="23"/>
        </w:rPr>
        <w:t>2.3. Walmart Demand Forecasting</w:t>
      </w:r>
    </w:p>
    <w:p w14:paraId="1EF5748E" w14:textId="77777777" w:rsidR="003C3F7B" w:rsidRDefault="00000000">
      <w:pPr>
        <w:spacing w:before="80" w:after="100" w:line="276" w:lineRule="auto"/>
        <w:jc w:val="both"/>
      </w:pPr>
      <w:r>
        <w:rPr>
          <w:color w:val="222222"/>
        </w:rPr>
        <w:t xml:space="preserve">The Walmart Store Sales Forecasting competition on Kaggle [14] has been used as a benchmark in several published studies. </w:t>
      </w:r>
      <w:proofErr w:type="spellStart"/>
      <w:r>
        <w:rPr>
          <w:color w:val="222222"/>
        </w:rPr>
        <w:t>Januschowski</w:t>
      </w:r>
      <w:proofErr w:type="spellEnd"/>
      <w:r>
        <w:rPr>
          <w:color w:val="222222"/>
        </w:rPr>
        <w:t xml:space="preserve"> et al. [25] provide criteria for classifying forecasting methods, noting that benchmark datasets such as the Walmart competition are valuable for method comparison. Ma et al. [26] demonstrated that intra- and inter-category promotional information significantly improves retail sales forecast accuracy, supporting the inclusion of </w:t>
      </w:r>
      <w:proofErr w:type="spellStart"/>
      <w:r>
        <w:rPr>
          <w:color w:val="222222"/>
        </w:rPr>
        <w:t>MarkDown</w:t>
      </w:r>
      <w:proofErr w:type="spellEnd"/>
      <w:r>
        <w:rPr>
          <w:color w:val="222222"/>
        </w:rPr>
        <w:t xml:space="preserve"> features in the model. The dataset's hierarchical structure makes it particularly suitable for evaluating cross-level reconciliation methods [27].</w:t>
      </w:r>
    </w:p>
    <w:p w14:paraId="49854068" w14:textId="77777777" w:rsidR="003C3F7B" w:rsidRDefault="00000000">
      <w:pPr>
        <w:spacing w:before="180" w:after="80"/>
      </w:pPr>
      <w:r>
        <w:rPr>
          <w:rFonts w:ascii="Arial" w:eastAsia="Arial" w:hAnsi="Arial" w:cs="Arial"/>
          <w:b/>
          <w:bCs/>
          <w:color w:val="0077B6"/>
          <w:sz w:val="23"/>
          <w:szCs w:val="23"/>
        </w:rPr>
        <w:t>2.4. Statistical Testing of Forecast Accuracy</w:t>
      </w:r>
    </w:p>
    <w:p w14:paraId="1804A0F0" w14:textId="77777777" w:rsidR="003C3F7B" w:rsidRDefault="00000000">
      <w:pPr>
        <w:spacing w:before="80" w:after="160" w:line="276" w:lineRule="auto"/>
        <w:jc w:val="both"/>
      </w:pPr>
      <w:r>
        <w:rPr>
          <w:color w:val="222222"/>
        </w:rPr>
        <w:t xml:space="preserve">The Diebold–Mariano (DM) test [28] is the standard approach for comparing predictive accuracy of two forecast methods. The original test assumes that the loss differential series is covariance-stationary and uses a HAC-consistent variance estimator to account for serial correlation. Harvey et al. [29] proposed a small-sample correction. West [30] showed that parameter estimation uncertainty does not invalidate the DM test under standard conditions. A common error in applied forecasting research is to use a plain t-test, which assumes </w:t>
      </w:r>
      <w:proofErr w:type="spellStart"/>
      <w:r>
        <w:rPr>
          <w:color w:val="222222"/>
        </w:rPr>
        <w:t>i.i.d.</w:t>
      </w:r>
      <w:proofErr w:type="spellEnd"/>
      <w:r>
        <w:rPr>
          <w:color w:val="222222"/>
        </w:rPr>
        <w:t xml:space="preserve"> errors—an assumption almost certainly violated for weekly retail sales [31].</w:t>
      </w:r>
    </w:p>
    <w:p w14:paraId="049ED1C9" w14:textId="77777777" w:rsidR="003C3F7B" w:rsidRDefault="00000000">
      <w:pPr>
        <w:pBdr>
          <w:bottom w:val="single" w:sz="4" w:space="4" w:color="0077B6"/>
        </w:pBdr>
        <w:spacing w:before="240" w:after="120"/>
      </w:pPr>
      <w:r>
        <w:rPr>
          <w:rFonts w:ascii="Arial" w:eastAsia="Arial" w:hAnsi="Arial" w:cs="Arial"/>
          <w:b/>
          <w:bCs/>
          <w:color w:val="0077B6"/>
          <w:sz w:val="26"/>
          <w:szCs w:val="26"/>
        </w:rPr>
        <w:t>3. Dataset and Data Processing</w:t>
      </w:r>
    </w:p>
    <w:p w14:paraId="5BE2C124" w14:textId="77777777" w:rsidR="003C3F7B" w:rsidRDefault="00000000">
      <w:pPr>
        <w:spacing w:before="180" w:after="80"/>
      </w:pPr>
      <w:r>
        <w:rPr>
          <w:rFonts w:ascii="Arial" w:eastAsia="Arial" w:hAnsi="Arial" w:cs="Arial"/>
          <w:b/>
          <w:bCs/>
          <w:color w:val="0077B6"/>
          <w:sz w:val="23"/>
          <w:szCs w:val="23"/>
        </w:rPr>
        <w:t>3.1. Data Description</w:t>
      </w:r>
    </w:p>
    <w:p w14:paraId="251879F7" w14:textId="77777777" w:rsidR="003C3F7B" w:rsidRDefault="00000000">
      <w:pPr>
        <w:spacing w:before="80" w:after="100" w:line="276" w:lineRule="auto"/>
        <w:jc w:val="both"/>
      </w:pPr>
      <w:r>
        <w:rPr>
          <w:color w:val="222222"/>
        </w:rPr>
        <w:t>The Walmart Store Sales Forecasting dataset [14] contains historical weekly sales data for 45 Walmart stores across 81 departments from February 5, 2010 to October 26, 2012, comprising 421,570 rows in the training set. Three data files are used: (</w:t>
      </w:r>
      <w:proofErr w:type="spellStart"/>
      <w:r>
        <w:rPr>
          <w:color w:val="222222"/>
        </w:rPr>
        <w:t>i</w:t>
      </w:r>
      <w:proofErr w:type="spellEnd"/>
      <w:r>
        <w:rPr>
          <w:color w:val="222222"/>
        </w:rPr>
        <w:t>) train.csv—421,570 weekly sales records indexed by Store, Department, and Date; (ii) stores.csv—store metadata including type (A, B, or C) and size in square feet; and (iii) features.csv—weekly external covariates including temperature, fuel price, CPI, unemployment rate, and five promotional markdown variables (MarkDown1–5).</w:t>
      </w:r>
    </w:p>
    <w:p w14:paraId="370BC42F" w14:textId="77777777" w:rsidR="003C3F7B" w:rsidRDefault="00000000">
      <w:pPr>
        <w:spacing w:before="80" w:after="100" w:line="276" w:lineRule="auto"/>
        <w:jc w:val="both"/>
      </w:pPr>
      <w:r>
        <w:rPr>
          <w:color w:val="222222"/>
        </w:rPr>
        <w:t>The dataset spans 138 weeks and covers 12 designated holiday events across four categories: Super Bowl, Labor Day, Thanksgiving, and Christmas. Holiday weeks are flagged using a binary indicator and a 1.25× weight multiplier is applied to holiday-week observations during training.</w:t>
      </w:r>
    </w:p>
    <w:p w14:paraId="5972158A" w14:textId="77777777" w:rsidR="003C3F7B" w:rsidRDefault="00000000">
      <w:pPr>
        <w:spacing w:before="180" w:after="80"/>
      </w:pPr>
      <w:r>
        <w:rPr>
          <w:rFonts w:ascii="Arial" w:eastAsia="Arial" w:hAnsi="Arial" w:cs="Arial"/>
          <w:b/>
          <w:bCs/>
          <w:color w:val="0077B6"/>
          <w:sz w:val="23"/>
          <w:szCs w:val="23"/>
        </w:rPr>
        <w:t>3.2. Data Preprocessing</w:t>
      </w:r>
    </w:p>
    <w:p w14:paraId="08B14081" w14:textId="77777777" w:rsidR="003C3F7B" w:rsidRDefault="00000000">
      <w:pPr>
        <w:spacing w:before="80" w:after="120" w:line="276" w:lineRule="auto"/>
        <w:jc w:val="both"/>
      </w:pPr>
      <w:r>
        <w:rPr>
          <w:color w:val="222222"/>
        </w:rPr>
        <w:t>Missing values are handled as follows: promotional markdown variables (MarkDown1–5) are imputed with zero, representing absence of a promotional event [26,3]; CPI and Unemployment are imputed with their training-set median values; Weekly Sales gaps are filled by group-wise (Store, Department) forward fill followed by backward fill, with remaining gaps set to zero. Store type is label-encoded (A = 0, B = 1, C = 2). All features are merged on Store and Date keys. The final feature matrix after removing lag warm-up rows contains 395,604 observations across 28 features (Table 1).</w:t>
      </w:r>
    </w:p>
    <w:p w14:paraId="13044186" w14:textId="77777777" w:rsidR="003C3F7B" w:rsidRDefault="00000000">
      <w:pPr>
        <w:spacing w:before="160" w:after="60"/>
      </w:pPr>
      <w:r>
        <w:rPr>
          <w:b/>
          <w:bCs/>
          <w:color w:val="0077B6"/>
          <w:sz w:val="20"/>
          <w:szCs w:val="20"/>
        </w:rPr>
        <w:t xml:space="preserve">Table </w:t>
      </w:r>
      <w:r>
        <w:rPr>
          <w:i/>
          <w:iCs/>
          <w:color w:val="555555"/>
          <w:sz w:val="20"/>
          <w:szCs w:val="20"/>
        </w:rPr>
        <w:t>1. Feature set used in the GBM base forecasting model.</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3500"/>
        <w:gridCol w:w="3526"/>
      </w:tblGrid>
      <w:tr w:rsidR="003C3F7B" w14:paraId="6321D025" w14:textId="77777777">
        <w:tblPrEx>
          <w:tblCellMar>
            <w:top w:w="0" w:type="dxa"/>
            <w:bottom w:w="0" w:type="dxa"/>
          </w:tblCellMar>
        </w:tblPrEx>
        <w:tc>
          <w:tcPr>
            <w:tcW w:w="2000" w:type="dxa"/>
            <w:tcBorders>
              <w:top w:val="single" w:sz="1" w:space="0" w:color="0077B6"/>
              <w:left w:val="single" w:sz="1" w:space="0" w:color="0077B6"/>
              <w:bottom w:val="single" w:sz="1" w:space="0" w:color="0077B6"/>
              <w:right w:val="single" w:sz="1" w:space="0" w:color="0077B6"/>
            </w:tcBorders>
            <w:shd w:val="clear" w:color="auto" w:fill="0077B6"/>
            <w:tcMar>
              <w:top w:w="80" w:type="dxa"/>
              <w:left w:w="100" w:type="dxa"/>
              <w:bottom w:w="80" w:type="dxa"/>
              <w:right w:w="100" w:type="dxa"/>
            </w:tcMar>
          </w:tcPr>
          <w:p w14:paraId="25526F0C" w14:textId="77777777" w:rsidR="003C3F7B" w:rsidRDefault="00000000">
            <w:pPr>
              <w:jc w:val="center"/>
            </w:pPr>
            <w:r>
              <w:rPr>
                <w:rFonts w:ascii="Arial" w:eastAsia="Arial" w:hAnsi="Arial" w:cs="Arial"/>
                <w:b/>
                <w:bCs/>
                <w:color w:val="FFFFFF"/>
                <w:sz w:val="18"/>
                <w:szCs w:val="18"/>
              </w:rPr>
              <w:t>Feature Group</w:t>
            </w:r>
          </w:p>
        </w:tc>
        <w:tc>
          <w:tcPr>
            <w:tcW w:w="3500" w:type="dxa"/>
            <w:tcBorders>
              <w:top w:val="single" w:sz="1" w:space="0" w:color="0077B6"/>
              <w:left w:val="single" w:sz="1" w:space="0" w:color="0077B6"/>
              <w:bottom w:val="single" w:sz="1" w:space="0" w:color="0077B6"/>
              <w:right w:val="single" w:sz="1" w:space="0" w:color="0077B6"/>
            </w:tcBorders>
            <w:shd w:val="clear" w:color="auto" w:fill="0077B6"/>
            <w:tcMar>
              <w:top w:w="80" w:type="dxa"/>
              <w:left w:w="100" w:type="dxa"/>
              <w:bottom w:w="80" w:type="dxa"/>
              <w:right w:w="100" w:type="dxa"/>
            </w:tcMar>
          </w:tcPr>
          <w:p w14:paraId="667AF021" w14:textId="77777777" w:rsidR="003C3F7B" w:rsidRDefault="00000000">
            <w:pPr>
              <w:jc w:val="center"/>
            </w:pPr>
            <w:r>
              <w:rPr>
                <w:rFonts w:ascii="Arial" w:eastAsia="Arial" w:hAnsi="Arial" w:cs="Arial"/>
                <w:b/>
                <w:bCs/>
                <w:color w:val="FFFFFF"/>
                <w:sz w:val="18"/>
                <w:szCs w:val="18"/>
              </w:rPr>
              <w:t>Features</w:t>
            </w:r>
          </w:p>
        </w:tc>
        <w:tc>
          <w:tcPr>
            <w:tcW w:w="3526" w:type="dxa"/>
            <w:tcBorders>
              <w:top w:val="single" w:sz="1" w:space="0" w:color="0077B6"/>
              <w:left w:val="single" w:sz="1" w:space="0" w:color="0077B6"/>
              <w:bottom w:val="single" w:sz="1" w:space="0" w:color="0077B6"/>
              <w:right w:val="single" w:sz="1" w:space="0" w:color="0077B6"/>
            </w:tcBorders>
            <w:shd w:val="clear" w:color="auto" w:fill="0077B6"/>
            <w:tcMar>
              <w:top w:w="80" w:type="dxa"/>
              <w:left w:w="100" w:type="dxa"/>
              <w:bottom w:w="80" w:type="dxa"/>
              <w:right w:w="100" w:type="dxa"/>
            </w:tcMar>
          </w:tcPr>
          <w:p w14:paraId="155B1ADA" w14:textId="77777777" w:rsidR="003C3F7B" w:rsidRDefault="00000000">
            <w:pPr>
              <w:jc w:val="center"/>
            </w:pPr>
            <w:r>
              <w:rPr>
                <w:rFonts w:ascii="Arial" w:eastAsia="Arial" w:hAnsi="Arial" w:cs="Arial"/>
                <w:b/>
                <w:bCs/>
                <w:color w:val="FFFFFF"/>
                <w:sz w:val="18"/>
                <w:szCs w:val="18"/>
              </w:rPr>
              <w:t>Description</w:t>
            </w:r>
          </w:p>
        </w:tc>
      </w:tr>
      <w:tr w:rsidR="003C3F7B" w14:paraId="06FEFB8A" w14:textId="77777777">
        <w:tblPrEx>
          <w:tblCellMar>
            <w:top w:w="0" w:type="dxa"/>
            <w:bottom w:w="0" w:type="dxa"/>
          </w:tblCellMar>
        </w:tblPrEx>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33B0910" w14:textId="77777777" w:rsidR="003C3F7B" w:rsidRDefault="00000000">
            <w:r>
              <w:rPr>
                <w:color w:val="222222"/>
                <w:sz w:val="18"/>
                <w:szCs w:val="18"/>
              </w:rPr>
              <w:t>Lag features</w:t>
            </w:r>
          </w:p>
        </w:tc>
        <w:tc>
          <w:tcPr>
            <w:tcW w:w="35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AD77AB0" w14:textId="77777777" w:rsidR="003C3F7B" w:rsidRDefault="00000000">
            <w:r>
              <w:rPr>
                <w:color w:val="222222"/>
                <w:sz w:val="18"/>
                <w:szCs w:val="18"/>
              </w:rPr>
              <w:t>lag_1w, lag_2w, lag_4w</w:t>
            </w:r>
          </w:p>
        </w:tc>
        <w:tc>
          <w:tcPr>
            <w:tcW w:w="35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78A7D8B" w14:textId="77777777" w:rsidR="003C3F7B" w:rsidRDefault="00000000">
            <w:r>
              <w:rPr>
                <w:color w:val="222222"/>
                <w:sz w:val="18"/>
                <w:szCs w:val="18"/>
              </w:rPr>
              <w:t>Sales 1, 2, 4 weeks prior</w:t>
            </w:r>
          </w:p>
        </w:tc>
      </w:tr>
      <w:tr w:rsidR="003C3F7B" w14:paraId="03A797D5" w14:textId="77777777">
        <w:tblPrEx>
          <w:tblCellMar>
            <w:top w:w="0" w:type="dxa"/>
            <w:bottom w:w="0" w:type="dxa"/>
          </w:tblCellMar>
        </w:tblPrEx>
        <w:tc>
          <w:tcPr>
            <w:tcW w:w="2000" w:type="dxa"/>
            <w:tcBorders>
              <w:top w:val="single" w:sz="1" w:space="0" w:color="DDDDDD"/>
              <w:left w:val="single" w:sz="1" w:space="0" w:color="DDDDDD"/>
              <w:bottom w:val="single" w:sz="1" w:space="0" w:color="DDDDDD"/>
              <w:right w:val="single" w:sz="1" w:space="0" w:color="DDDDDD"/>
            </w:tcBorders>
            <w:shd w:val="clear" w:color="auto" w:fill="F5F5F5"/>
            <w:tcMar>
              <w:top w:w="60" w:type="dxa"/>
              <w:left w:w="100" w:type="dxa"/>
              <w:bottom w:w="60" w:type="dxa"/>
              <w:right w:w="100" w:type="dxa"/>
            </w:tcMar>
          </w:tcPr>
          <w:p w14:paraId="7F049FE4" w14:textId="77777777" w:rsidR="003C3F7B" w:rsidRDefault="00000000">
            <w:r>
              <w:rPr>
                <w:color w:val="222222"/>
                <w:sz w:val="18"/>
                <w:szCs w:val="18"/>
              </w:rPr>
              <w:t>Rolling means</w:t>
            </w:r>
          </w:p>
        </w:tc>
        <w:tc>
          <w:tcPr>
            <w:tcW w:w="3500" w:type="dxa"/>
            <w:tcBorders>
              <w:top w:val="single" w:sz="1" w:space="0" w:color="DDDDDD"/>
              <w:left w:val="single" w:sz="1" w:space="0" w:color="DDDDDD"/>
              <w:bottom w:val="single" w:sz="1" w:space="0" w:color="DDDDDD"/>
              <w:right w:val="single" w:sz="1" w:space="0" w:color="DDDDDD"/>
            </w:tcBorders>
            <w:shd w:val="clear" w:color="auto" w:fill="F5F5F5"/>
            <w:tcMar>
              <w:top w:w="60" w:type="dxa"/>
              <w:left w:w="100" w:type="dxa"/>
              <w:bottom w:w="60" w:type="dxa"/>
              <w:right w:w="100" w:type="dxa"/>
            </w:tcMar>
          </w:tcPr>
          <w:p w14:paraId="6F76E7F5" w14:textId="77777777" w:rsidR="003C3F7B" w:rsidRDefault="00000000">
            <w:r>
              <w:rPr>
                <w:color w:val="222222"/>
                <w:sz w:val="18"/>
                <w:szCs w:val="18"/>
              </w:rPr>
              <w:t>roll_mean_4w, roll_mean_8w</w:t>
            </w:r>
          </w:p>
        </w:tc>
        <w:tc>
          <w:tcPr>
            <w:tcW w:w="3526" w:type="dxa"/>
            <w:tcBorders>
              <w:top w:val="single" w:sz="1" w:space="0" w:color="DDDDDD"/>
              <w:left w:val="single" w:sz="1" w:space="0" w:color="DDDDDD"/>
              <w:bottom w:val="single" w:sz="1" w:space="0" w:color="DDDDDD"/>
              <w:right w:val="single" w:sz="1" w:space="0" w:color="DDDDDD"/>
            </w:tcBorders>
            <w:shd w:val="clear" w:color="auto" w:fill="F5F5F5"/>
            <w:tcMar>
              <w:top w:w="60" w:type="dxa"/>
              <w:left w:w="100" w:type="dxa"/>
              <w:bottom w:w="60" w:type="dxa"/>
              <w:right w:w="100" w:type="dxa"/>
            </w:tcMar>
          </w:tcPr>
          <w:p w14:paraId="3FADA534" w14:textId="77777777" w:rsidR="003C3F7B" w:rsidRDefault="00000000">
            <w:r>
              <w:rPr>
                <w:color w:val="222222"/>
                <w:sz w:val="18"/>
                <w:szCs w:val="18"/>
              </w:rPr>
              <w:t>4-week and 8-week moving averages</w:t>
            </w:r>
          </w:p>
        </w:tc>
      </w:tr>
      <w:tr w:rsidR="003C3F7B" w14:paraId="5FDB57B2" w14:textId="77777777">
        <w:tblPrEx>
          <w:tblCellMar>
            <w:top w:w="0" w:type="dxa"/>
            <w:bottom w:w="0" w:type="dxa"/>
          </w:tblCellMar>
        </w:tblPrEx>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F7874FC" w14:textId="77777777" w:rsidR="003C3F7B" w:rsidRDefault="00000000">
            <w:r>
              <w:rPr>
                <w:color w:val="222222"/>
                <w:sz w:val="18"/>
                <w:szCs w:val="18"/>
              </w:rPr>
              <w:t>Time features</w:t>
            </w:r>
          </w:p>
        </w:tc>
        <w:tc>
          <w:tcPr>
            <w:tcW w:w="35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B2CC0A3" w14:textId="77777777" w:rsidR="003C3F7B" w:rsidRDefault="00000000">
            <w:proofErr w:type="spellStart"/>
            <w:r>
              <w:rPr>
                <w:color w:val="222222"/>
                <w:sz w:val="18"/>
                <w:szCs w:val="18"/>
              </w:rPr>
              <w:t>week_of_year</w:t>
            </w:r>
            <w:proofErr w:type="spellEnd"/>
            <w:r>
              <w:rPr>
                <w:color w:val="222222"/>
                <w:sz w:val="18"/>
                <w:szCs w:val="18"/>
              </w:rPr>
              <w:t xml:space="preserve">, month, quarter, year, </w:t>
            </w:r>
            <w:proofErr w:type="spellStart"/>
            <w:r>
              <w:rPr>
                <w:color w:val="222222"/>
                <w:sz w:val="18"/>
                <w:szCs w:val="18"/>
              </w:rPr>
              <w:t>year_idx</w:t>
            </w:r>
            <w:proofErr w:type="spellEnd"/>
          </w:p>
        </w:tc>
        <w:tc>
          <w:tcPr>
            <w:tcW w:w="35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EE705EE" w14:textId="77777777" w:rsidR="003C3F7B" w:rsidRDefault="00000000">
            <w:r>
              <w:rPr>
                <w:color w:val="222222"/>
                <w:sz w:val="18"/>
                <w:szCs w:val="18"/>
              </w:rPr>
              <w:t>Calendar decomposition and trend index</w:t>
            </w:r>
          </w:p>
        </w:tc>
      </w:tr>
      <w:tr w:rsidR="003C3F7B" w14:paraId="7DF4B950" w14:textId="77777777">
        <w:tblPrEx>
          <w:tblCellMar>
            <w:top w:w="0" w:type="dxa"/>
            <w:bottom w:w="0" w:type="dxa"/>
          </w:tblCellMar>
        </w:tblPrEx>
        <w:tc>
          <w:tcPr>
            <w:tcW w:w="2000" w:type="dxa"/>
            <w:tcBorders>
              <w:top w:val="single" w:sz="1" w:space="0" w:color="DDDDDD"/>
              <w:left w:val="single" w:sz="1" w:space="0" w:color="DDDDDD"/>
              <w:bottom w:val="single" w:sz="1" w:space="0" w:color="DDDDDD"/>
              <w:right w:val="single" w:sz="1" w:space="0" w:color="DDDDDD"/>
            </w:tcBorders>
            <w:shd w:val="clear" w:color="auto" w:fill="F5F5F5"/>
            <w:tcMar>
              <w:top w:w="60" w:type="dxa"/>
              <w:left w:w="100" w:type="dxa"/>
              <w:bottom w:w="60" w:type="dxa"/>
              <w:right w:w="100" w:type="dxa"/>
            </w:tcMar>
          </w:tcPr>
          <w:p w14:paraId="7CC03881" w14:textId="77777777" w:rsidR="003C3F7B" w:rsidRDefault="00000000">
            <w:r>
              <w:rPr>
                <w:color w:val="222222"/>
                <w:sz w:val="18"/>
                <w:szCs w:val="18"/>
              </w:rPr>
              <w:t>Holiday</w:t>
            </w:r>
          </w:p>
        </w:tc>
        <w:tc>
          <w:tcPr>
            <w:tcW w:w="3500" w:type="dxa"/>
            <w:tcBorders>
              <w:top w:val="single" w:sz="1" w:space="0" w:color="DDDDDD"/>
              <w:left w:val="single" w:sz="1" w:space="0" w:color="DDDDDD"/>
              <w:bottom w:val="single" w:sz="1" w:space="0" w:color="DDDDDD"/>
              <w:right w:val="single" w:sz="1" w:space="0" w:color="DDDDDD"/>
            </w:tcBorders>
            <w:shd w:val="clear" w:color="auto" w:fill="F5F5F5"/>
            <w:tcMar>
              <w:top w:w="60" w:type="dxa"/>
              <w:left w:w="100" w:type="dxa"/>
              <w:bottom w:w="60" w:type="dxa"/>
              <w:right w:w="100" w:type="dxa"/>
            </w:tcMar>
          </w:tcPr>
          <w:p w14:paraId="75449BD4" w14:textId="77777777" w:rsidR="003C3F7B" w:rsidRDefault="00000000">
            <w:proofErr w:type="spellStart"/>
            <w:r>
              <w:rPr>
                <w:color w:val="222222"/>
                <w:sz w:val="18"/>
                <w:szCs w:val="18"/>
              </w:rPr>
              <w:t>holiday_flag</w:t>
            </w:r>
            <w:proofErr w:type="spellEnd"/>
            <w:r>
              <w:rPr>
                <w:color w:val="222222"/>
                <w:sz w:val="18"/>
                <w:szCs w:val="18"/>
              </w:rPr>
              <w:t xml:space="preserve">, </w:t>
            </w:r>
            <w:proofErr w:type="spellStart"/>
            <w:r>
              <w:rPr>
                <w:color w:val="222222"/>
                <w:sz w:val="18"/>
                <w:szCs w:val="18"/>
              </w:rPr>
              <w:t>holiday_weight</w:t>
            </w:r>
            <w:proofErr w:type="spellEnd"/>
          </w:p>
        </w:tc>
        <w:tc>
          <w:tcPr>
            <w:tcW w:w="3526" w:type="dxa"/>
            <w:tcBorders>
              <w:top w:val="single" w:sz="1" w:space="0" w:color="DDDDDD"/>
              <w:left w:val="single" w:sz="1" w:space="0" w:color="DDDDDD"/>
              <w:bottom w:val="single" w:sz="1" w:space="0" w:color="DDDDDD"/>
              <w:right w:val="single" w:sz="1" w:space="0" w:color="DDDDDD"/>
            </w:tcBorders>
            <w:shd w:val="clear" w:color="auto" w:fill="F5F5F5"/>
            <w:tcMar>
              <w:top w:w="60" w:type="dxa"/>
              <w:left w:w="100" w:type="dxa"/>
              <w:bottom w:w="60" w:type="dxa"/>
              <w:right w:w="100" w:type="dxa"/>
            </w:tcMar>
          </w:tcPr>
          <w:p w14:paraId="641B14AA" w14:textId="77777777" w:rsidR="003C3F7B" w:rsidRDefault="00000000">
            <w:r>
              <w:rPr>
                <w:color w:val="222222"/>
                <w:sz w:val="18"/>
                <w:szCs w:val="18"/>
              </w:rPr>
              <w:t>Binary indicator; 1.25× multiplier</w:t>
            </w:r>
          </w:p>
        </w:tc>
      </w:tr>
      <w:tr w:rsidR="003C3F7B" w14:paraId="1C5D35A9" w14:textId="77777777">
        <w:tblPrEx>
          <w:tblCellMar>
            <w:top w:w="0" w:type="dxa"/>
            <w:bottom w:w="0" w:type="dxa"/>
          </w:tblCellMar>
        </w:tblPrEx>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076200F" w14:textId="77777777" w:rsidR="003C3F7B" w:rsidRDefault="00000000">
            <w:r>
              <w:rPr>
                <w:color w:val="222222"/>
                <w:sz w:val="18"/>
                <w:szCs w:val="18"/>
              </w:rPr>
              <w:t>External</w:t>
            </w:r>
          </w:p>
        </w:tc>
        <w:tc>
          <w:tcPr>
            <w:tcW w:w="35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EB8ABCD" w14:textId="77777777" w:rsidR="003C3F7B" w:rsidRDefault="00000000">
            <w:r>
              <w:rPr>
                <w:color w:val="222222"/>
                <w:sz w:val="18"/>
                <w:szCs w:val="18"/>
              </w:rPr>
              <w:t xml:space="preserve">Temperature, </w:t>
            </w:r>
            <w:proofErr w:type="spellStart"/>
            <w:r>
              <w:rPr>
                <w:color w:val="222222"/>
                <w:sz w:val="18"/>
                <w:szCs w:val="18"/>
              </w:rPr>
              <w:t>Fuel_Price</w:t>
            </w:r>
            <w:proofErr w:type="spellEnd"/>
            <w:r>
              <w:rPr>
                <w:color w:val="222222"/>
                <w:sz w:val="18"/>
                <w:szCs w:val="18"/>
              </w:rPr>
              <w:t xml:space="preserve">, CPI, Unemployment, </w:t>
            </w:r>
            <w:proofErr w:type="spellStart"/>
            <w:r>
              <w:rPr>
                <w:color w:val="222222"/>
                <w:sz w:val="18"/>
                <w:szCs w:val="18"/>
              </w:rPr>
              <w:t>MarkDowns</w:t>
            </w:r>
            <w:proofErr w:type="spellEnd"/>
            <w:r>
              <w:rPr>
                <w:color w:val="222222"/>
                <w:sz w:val="18"/>
                <w:szCs w:val="18"/>
              </w:rPr>
              <w:t xml:space="preserve"> 1–5</w:t>
            </w:r>
          </w:p>
        </w:tc>
        <w:tc>
          <w:tcPr>
            <w:tcW w:w="35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DA3B4D5" w14:textId="77777777" w:rsidR="003C3F7B" w:rsidRDefault="00000000">
            <w:r>
              <w:rPr>
                <w:color w:val="222222"/>
                <w:sz w:val="18"/>
                <w:szCs w:val="18"/>
              </w:rPr>
              <w:t>Macro and promotional covariates</w:t>
            </w:r>
          </w:p>
        </w:tc>
      </w:tr>
      <w:tr w:rsidR="003C3F7B" w14:paraId="134424AC" w14:textId="77777777">
        <w:tblPrEx>
          <w:tblCellMar>
            <w:top w:w="0" w:type="dxa"/>
            <w:bottom w:w="0" w:type="dxa"/>
          </w:tblCellMar>
        </w:tblPrEx>
        <w:tc>
          <w:tcPr>
            <w:tcW w:w="2000" w:type="dxa"/>
            <w:tcBorders>
              <w:top w:val="single" w:sz="1" w:space="0" w:color="DDDDDD"/>
              <w:left w:val="single" w:sz="1" w:space="0" w:color="DDDDDD"/>
              <w:bottom w:val="single" w:sz="1" w:space="0" w:color="DDDDDD"/>
              <w:right w:val="single" w:sz="1" w:space="0" w:color="DDDDDD"/>
            </w:tcBorders>
            <w:shd w:val="clear" w:color="auto" w:fill="F5F5F5"/>
            <w:tcMar>
              <w:top w:w="60" w:type="dxa"/>
              <w:left w:w="100" w:type="dxa"/>
              <w:bottom w:w="60" w:type="dxa"/>
              <w:right w:w="100" w:type="dxa"/>
            </w:tcMar>
          </w:tcPr>
          <w:p w14:paraId="3EE0458C" w14:textId="77777777" w:rsidR="003C3F7B" w:rsidRDefault="00000000">
            <w:r>
              <w:rPr>
                <w:color w:val="222222"/>
                <w:sz w:val="18"/>
                <w:szCs w:val="18"/>
              </w:rPr>
              <w:t>Store metadata</w:t>
            </w:r>
          </w:p>
        </w:tc>
        <w:tc>
          <w:tcPr>
            <w:tcW w:w="3500" w:type="dxa"/>
            <w:tcBorders>
              <w:top w:val="single" w:sz="1" w:space="0" w:color="DDDDDD"/>
              <w:left w:val="single" w:sz="1" w:space="0" w:color="DDDDDD"/>
              <w:bottom w:val="single" w:sz="1" w:space="0" w:color="DDDDDD"/>
              <w:right w:val="single" w:sz="1" w:space="0" w:color="DDDDDD"/>
            </w:tcBorders>
            <w:shd w:val="clear" w:color="auto" w:fill="F5F5F5"/>
            <w:tcMar>
              <w:top w:w="60" w:type="dxa"/>
              <w:left w:w="100" w:type="dxa"/>
              <w:bottom w:w="60" w:type="dxa"/>
              <w:right w:w="100" w:type="dxa"/>
            </w:tcMar>
          </w:tcPr>
          <w:p w14:paraId="3CD8EBB1" w14:textId="77777777" w:rsidR="003C3F7B" w:rsidRDefault="00000000">
            <w:proofErr w:type="spellStart"/>
            <w:r>
              <w:rPr>
                <w:color w:val="222222"/>
                <w:sz w:val="18"/>
                <w:szCs w:val="18"/>
              </w:rPr>
              <w:t>store_size</w:t>
            </w:r>
            <w:proofErr w:type="spellEnd"/>
            <w:r>
              <w:rPr>
                <w:color w:val="222222"/>
                <w:sz w:val="18"/>
                <w:szCs w:val="18"/>
              </w:rPr>
              <w:t xml:space="preserve">, </w:t>
            </w:r>
            <w:proofErr w:type="spellStart"/>
            <w:r>
              <w:rPr>
                <w:color w:val="222222"/>
                <w:sz w:val="18"/>
                <w:szCs w:val="18"/>
              </w:rPr>
              <w:t>store_type_enc</w:t>
            </w:r>
            <w:proofErr w:type="spellEnd"/>
            <w:r>
              <w:rPr>
                <w:color w:val="222222"/>
                <w:sz w:val="18"/>
                <w:szCs w:val="18"/>
              </w:rPr>
              <w:t>, Store, Dept</w:t>
            </w:r>
          </w:p>
        </w:tc>
        <w:tc>
          <w:tcPr>
            <w:tcW w:w="3526" w:type="dxa"/>
            <w:tcBorders>
              <w:top w:val="single" w:sz="1" w:space="0" w:color="DDDDDD"/>
              <w:left w:val="single" w:sz="1" w:space="0" w:color="DDDDDD"/>
              <w:bottom w:val="single" w:sz="1" w:space="0" w:color="DDDDDD"/>
              <w:right w:val="single" w:sz="1" w:space="0" w:color="DDDDDD"/>
            </w:tcBorders>
            <w:shd w:val="clear" w:color="auto" w:fill="F5F5F5"/>
            <w:tcMar>
              <w:top w:w="60" w:type="dxa"/>
              <w:left w:w="100" w:type="dxa"/>
              <w:bottom w:w="60" w:type="dxa"/>
              <w:right w:w="100" w:type="dxa"/>
            </w:tcMar>
          </w:tcPr>
          <w:p w14:paraId="68D6CB5A" w14:textId="77777777" w:rsidR="003C3F7B" w:rsidRDefault="00000000">
            <w:r>
              <w:rPr>
                <w:color w:val="222222"/>
                <w:sz w:val="18"/>
                <w:szCs w:val="18"/>
              </w:rPr>
              <w:t>Physical and categorical store attributes</w:t>
            </w:r>
          </w:p>
        </w:tc>
      </w:tr>
    </w:tbl>
    <w:p w14:paraId="383FA051" w14:textId="77777777" w:rsidR="003C3F7B" w:rsidRDefault="003C3F7B">
      <w:pPr>
        <w:spacing w:after="160"/>
      </w:pPr>
    </w:p>
    <w:p w14:paraId="7BF6285A" w14:textId="77777777" w:rsidR="003C3F7B" w:rsidRDefault="00000000">
      <w:pPr>
        <w:pBdr>
          <w:bottom w:val="single" w:sz="4" w:space="4" w:color="0077B6"/>
        </w:pBdr>
        <w:spacing w:before="240" w:after="120"/>
      </w:pPr>
      <w:r>
        <w:rPr>
          <w:rFonts w:ascii="Arial" w:eastAsia="Arial" w:hAnsi="Arial" w:cs="Arial"/>
          <w:b/>
          <w:bCs/>
          <w:color w:val="0077B6"/>
          <w:sz w:val="26"/>
          <w:szCs w:val="26"/>
        </w:rPr>
        <w:t>4. Methodology</w:t>
      </w:r>
    </w:p>
    <w:p w14:paraId="2D76F83C" w14:textId="77777777" w:rsidR="003C3F7B" w:rsidRDefault="00000000">
      <w:pPr>
        <w:spacing w:before="180" w:after="80"/>
      </w:pPr>
      <w:r>
        <w:rPr>
          <w:rFonts w:ascii="Arial" w:eastAsia="Arial" w:hAnsi="Arial" w:cs="Arial"/>
          <w:b/>
          <w:bCs/>
          <w:color w:val="0077B6"/>
          <w:sz w:val="23"/>
          <w:szCs w:val="23"/>
        </w:rPr>
        <w:t>4.1. Hierarchy Structure</w:t>
      </w:r>
    </w:p>
    <w:p w14:paraId="481DF33B" w14:textId="77777777" w:rsidR="003C3F7B" w:rsidRDefault="00000000">
      <w:pPr>
        <w:spacing w:before="80" w:after="100" w:line="276" w:lineRule="auto"/>
        <w:jc w:val="both"/>
      </w:pPr>
      <w:r>
        <w:rPr>
          <w:color w:val="222222"/>
        </w:rPr>
        <w:t>The Walmart sales hierarchy consists of three levels: the chain level (1 entity), the store level (45 entities), and the department level (81 departments), producing approximately 3,331 unique store–department leaf series. Figure 1 illustrates the hierarchy structure and the coherence problem that reconciliation addresses.</w:t>
      </w:r>
    </w:p>
    <w:p w14:paraId="40090BAE" w14:textId="77777777" w:rsidR="003C3F7B" w:rsidRDefault="00000000">
      <w:pPr>
        <w:spacing w:before="120" w:after="80"/>
        <w:jc w:val="center"/>
      </w:pPr>
      <w:r>
        <w:rPr>
          <w:noProof/>
        </w:rPr>
        <w:drawing>
          <wp:inline distT="0" distB="0" distL="0" distR="0" wp14:anchorId="584FB5F6" wp14:editId="05048480">
            <wp:extent cx="5029200" cy="3752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5029200" cy="3752850"/>
                    </a:xfrm>
                    <a:prstGeom prst="rect">
                      <a:avLst/>
                    </a:prstGeom>
                  </pic:spPr>
                </pic:pic>
              </a:graphicData>
            </a:graphic>
          </wp:inline>
        </w:drawing>
      </w:r>
    </w:p>
    <w:p w14:paraId="3611E59B" w14:textId="77777777" w:rsidR="003C3F7B" w:rsidRDefault="00000000">
      <w:pPr>
        <w:spacing w:before="60" w:after="160"/>
        <w:jc w:val="center"/>
      </w:pPr>
      <w:r>
        <w:rPr>
          <w:b/>
          <w:bCs/>
          <w:color w:val="0077B6"/>
          <w:sz w:val="20"/>
          <w:szCs w:val="20"/>
        </w:rPr>
        <w:t xml:space="preserve">Figure </w:t>
      </w:r>
      <w:r>
        <w:rPr>
          <w:i/>
          <w:iCs/>
          <w:color w:val="555555"/>
          <w:sz w:val="20"/>
          <w:szCs w:val="20"/>
        </w:rPr>
        <w:t xml:space="preserve">1. Walmart sales hierarchy and the motivation for reconciliation. </w:t>
      </w:r>
      <w:proofErr w:type="gramStart"/>
      <w:r>
        <w:rPr>
          <w:i/>
          <w:iCs/>
          <w:color w:val="555555"/>
          <w:sz w:val="20"/>
          <w:szCs w:val="20"/>
        </w:rPr>
        <w:t>Sum(</w:t>
      </w:r>
      <w:proofErr w:type="gramEnd"/>
      <w:r>
        <w:rPr>
          <w:i/>
          <w:iCs/>
          <w:color w:val="555555"/>
          <w:sz w:val="20"/>
          <w:szCs w:val="20"/>
        </w:rPr>
        <w:t>Dept forecasts) does not equal Store forecast without explicit reconciliation.</w:t>
      </w:r>
    </w:p>
    <w:p w14:paraId="67A24B84" w14:textId="77777777" w:rsidR="003C3F7B" w:rsidRDefault="00000000">
      <w:pPr>
        <w:spacing w:before="180" w:after="80"/>
      </w:pPr>
      <w:r>
        <w:rPr>
          <w:rFonts w:ascii="Arial" w:eastAsia="Arial" w:hAnsi="Arial" w:cs="Arial"/>
          <w:b/>
          <w:bCs/>
          <w:color w:val="0077B6"/>
          <w:sz w:val="23"/>
          <w:szCs w:val="23"/>
        </w:rPr>
        <w:t>4.2. Base Forecasting Model</w:t>
      </w:r>
    </w:p>
    <w:p w14:paraId="5837E97C" w14:textId="77777777" w:rsidR="003C3F7B" w:rsidRDefault="00000000">
      <w:pPr>
        <w:spacing w:before="80" w:after="100" w:line="276" w:lineRule="auto"/>
        <w:jc w:val="both"/>
      </w:pPr>
      <w:r>
        <w:rPr>
          <w:color w:val="222222"/>
        </w:rPr>
        <w:t xml:space="preserve">A Gradient Boosting Regressor (GBR) [32] is trained across all store–department pairs simultaneously using scikit-learn [33] with hyperparameters: </w:t>
      </w:r>
      <w:proofErr w:type="spellStart"/>
      <w:r>
        <w:rPr>
          <w:color w:val="222222"/>
        </w:rPr>
        <w:t>n_estimators</w:t>
      </w:r>
      <w:proofErr w:type="spellEnd"/>
      <w:r>
        <w:rPr>
          <w:color w:val="222222"/>
        </w:rPr>
        <w:t xml:space="preserve"> = 150, </w:t>
      </w:r>
      <w:proofErr w:type="spellStart"/>
      <w:r>
        <w:rPr>
          <w:color w:val="222222"/>
        </w:rPr>
        <w:t>learning_rate</w:t>
      </w:r>
      <w:proofErr w:type="spellEnd"/>
      <w:r>
        <w:rPr>
          <w:color w:val="222222"/>
        </w:rPr>
        <w:t xml:space="preserve"> = 0.1, </w:t>
      </w:r>
      <w:proofErr w:type="spellStart"/>
      <w:r>
        <w:rPr>
          <w:color w:val="222222"/>
        </w:rPr>
        <w:t>max_depth</w:t>
      </w:r>
      <w:proofErr w:type="spellEnd"/>
      <w:r>
        <w:rPr>
          <w:color w:val="222222"/>
        </w:rPr>
        <w:t xml:space="preserve"> = 5, subsample = 0.8, </w:t>
      </w:r>
      <w:proofErr w:type="spellStart"/>
      <w:r>
        <w:rPr>
          <w:color w:val="222222"/>
        </w:rPr>
        <w:t>random_state</w:t>
      </w:r>
      <w:proofErr w:type="spellEnd"/>
      <w:r>
        <w:rPr>
          <w:color w:val="222222"/>
        </w:rPr>
        <w:t xml:space="preserve"> = 42. Strict walk-forward cross-validation is applied: the test set is always the last 12 weeks (35,516 observations), and the training set spans April 2010 to August 2012 (360,088 observations). No temporal shuffling is performed.</w:t>
      </w:r>
    </w:p>
    <w:p w14:paraId="74050E6A" w14:textId="77777777" w:rsidR="003C3F7B" w:rsidRDefault="00000000">
      <w:pPr>
        <w:spacing w:before="80" w:after="100" w:line="276" w:lineRule="auto"/>
        <w:jc w:val="both"/>
      </w:pPr>
      <w:r>
        <w:rPr>
          <w:color w:val="222222"/>
        </w:rPr>
        <w:t>All lag and rolling features are computed within each Store–Department group before the train/test split, ensuring no future information leaks into training features. Predictions are clipped at zero to prevent negative sales forecasts. Training-period base forecasts are retained alongside training actuals to enable ERM weight fitting (Section 4.6).</w:t>
      </w:r>
    </w:p>
    <w:p w14:paraId="0106E695" w14:textId="77777777" w:rsidR="003C3F7B" w:rsidRDefault="00000000">
      <w:pPr>
        <w:spacing w:before="180" w:after="80"/>
      </w:pPr>
      <w:r>
        <w:rPr>
          <w:rFonts w:ascii="Arial" w:eastAsia="Arial" w:hAnsi="Arial" w:cs="Arial"/>
          <w:b/>
          <w:bCs/>
          <w:color w:val="0077B6"/>
          <w:sz w:val="23"/>
          <w:szCs w:val="23"/>
        </w:rPr>
        <w:t>4.3. Bottom-Up Reconciliation</w:t>
      </w:r>
    </w:p>
    <w:p w14:paraId="00C88F2A" w14:textId="77777777" w:rsidR="003C3F7B" w:rsidRDefault="00000000">
      <w:pPr>
        <w:spacing w:before="80" w:after="100" w:line="276" w:lineRule="auto"/>
        <w:jc w:val="both"/>
      </w:pPr>
      <w:r>
        <w:rPr>
          <w:color w:val="222222"/>
        </w:rPr>
        <w:t>In the Bottom-Up approach [5], department-level base forecasts are summed to produce store-level and chain-level forecasts. Department-level predictions are unchanged from the base model, making BU the natural coherence baseline. BU is widely used in practice due to its simplicity and interpretability [5,6].</w:t>
      </w:r>
    </w:p>
    <w:p w14:paraId="2928F81B" w14:textId="77777777" w:rsidR="003C3F7B" w:rsidRDefault="00000000">
      <w:pPr>
        <w:spacing w:before="180" w:after="80"/>
      </w:pPr>
      <w:r>
        <w:rPr>
          <w:rFonts w:ascii="Arial" w:eastAsia="Arial" w:hAnsi="Arial" w:cs="Arial"/>
          <w:b/>
          <w:bCs/>
          <w:color w:val="0077B6"/>
          <w:sz w:val="23"/>
          <w:szCs w:val="23"/>
        </w:rPr>
        <w:t>4.4. Top-Down Reconciliation</w:t>
      </w:r>
    </w:p>
    <w:p w14:paraId="23C2EB7A" w14:textId="77777777" w:rsidR="003C3F7B" w:rsidRDefault="00000000">
      <w:pPr>
        <w:spacing w:before="80" w:after="100" w:line="276" w:lineRule="auto"/>
        <w:jc w:val="both"/>
      </w:pPr>
      <w:r>
        <w:rPr>
          <w:color w:val="222222"/>
        </w:rPr>
        <w:t>Top-Down disaggregates the chain-level base forecast using historical proportion weights computed from training data only. No test-period actuals enter the proportion calculation. TD produces coherent chain and store forecasts but sacrifices granular department accuracy because historical proportions smooth heterogeneous series dynamics [18].</w:t>
      </w:r>
    </w:p>
    <w:p w14:paraId="07D07357" w14:textId="77777777" w:rsidR="003C3F7B" w:rsidRDefault="00000000">
      <w:pPr>
        <w:spacing w:before="180" w:after="80"/>
      </w:pPr>
      <w:r>
        <w:rPr>
          <w:rFonts w:ascii="Arial" w:eastAsia="Arial" w:hAnsi="Arial" w:cs="Arial"/>
          <w:b/>
          <w:bCs/>
          <w:color w:val="0077B6"/>
          <w:sz w:val="23"/>
          <w:szCs w:val="23"/>
        </w:rPr>
        <w:t>4.5. Store-Level Proportional Disaggregation (SLPD)</w:t>
      </w:r>
    </w:p>
    <w:p w14:paraId="62E57B6D" w14:textId="77777777" w:rsidR="003C3F7B" w:rsidRDefault="00000000">
      <w:pPr>
        <w:spacing w:before="80" w:after="100" w:line="276" w:lineRule="auto"/>
        <w:jc w:val="both"/>
      </w:pPr>
      <w:r>
        <w:rPr>
          <w:color w:val="222222"/>
        </w:rPr>
        <w:t xml:space="preserve">This study implements a store-level proportional disaggregation, hereafter SLPD. This is a proportional approximation, not the canonical </w:t>
      </w:r>
      <w:proofErr w:type="spellStart"/>
      <w:r>
        <w:rPr>
          <w:color w:val="222222"/>
        </w:rPr>
        <w:t>MinT</w:t>
      </w:r>
      <w:proofErr w:type="spellEnd"/>
      <w:r>
        <w:rPr>
          <w:color w:val="222222"/>
        </w:rPr>
        <w:t xml:space="preserve"> estimator of </w:t>
      </w:r>
      <w:proofErr w:type="spellStart"/>
      <w:r>
        <w:rPr>
          <w:color w:val="222222"/>
        </w:rPr>
        <w:t>Wickramasuriya</w:t>
      </w:r>
      <w:proofErr w:type="spellEnd"/>
      <w:r>
        <w:rPr>
          <w:color w:val="222222"/>
        </w:rPr>
        <w:t xml:space="preserve"> et al. [8], which requires estimating the full residual covariance matrix </w:t>
      </w:r>
      <w:proofErr w:type="spellStart"/>
      <w:r>
        <w:rPr>
          <w:color w:val="222222"/>
        </w:rPr>
        <w:t>Σ_h</w:t>
      </w:r>
      <w:proofErr w:type="spellEnd"/>
      <w:r>
        <w:rPr>
          <w:color w:val="222222"/>
        </w:rPr>
        <w:t xml:space="preserve"> (a 3,331 × 3,331 matrix requiring shrinkage estimation [34]—identified as future work). SLPD distributes store-level base forecasts to departments using each department's training-period historical share within its store. All proportion weights are computed from training data only. No test-period actuals are used at any point in the SLPD computation.</w:t>
      </w:r>
    </w:p>
    <w:p w14:paraId="18BCEA3E" w14:textId="77777777" w:rsidR="003C3F7B" w:rsidRDefault="00000000">
      <w:pPr>
        <w:spacing w:before="180" w:after="80"/>
      </w:pPr>
      <w:r>
        <w:rPr>
          <w:rFonts w:ascii="Arial" w:eastAsia="Arial" w:hAnsi="Arial" w:cs="Arial"/>
          <w:b/>
          <w:bCs/>
          <w:color w:val="0077B6"/>
          <w:sz w:val="23"/>
          <w:szCs w:val="23"/>
        </w:rPr>
        <w:t xml:space="preserve">4.6. Empirical Risk </w:t>
      </w:r>
      <w:proofErr w:type="spellStart"/>
      <w:r>
        <w:rPr>
          <w:rFonts w:ascii="Arial" w:eastAsia="Arial" w:hAnsi="Arial" w:cs="Arial"/>
          <w:b/>
          <w:bCs/>
          <w:color w:val="0077B6"/>
          <w:sz w:val="23"/>
          <w:szCs w:val="23"/>
        </w:rPr>
        <w:t>Minimisation</w:t>
      </w:r>
      <w:proofErr w:type="spellEnd"/>
      <w:r>
        <w:rPr>
          <w:rFonts w:ascii="Arial" w:eastAsia="Arial" w:hAnsi="Arial" w:cs="Arial"/>
          <w:b/>
          <w:bCs/>
          <w:color w:val="0077B6"/>
          <w:sz w:val="23"/>
          <w:szCs w:val="23"/>
        </w:rPr>
        <w:t xml:space="preserve"> (ERM)</w:t>
      </w:r>
    </w:p>
    <w:p w14:paraId="2272FC08" w14:textId="77777777" w:rsidR="003C3F7B" w:rsidRDefault="00000000">
      <w:pPr>
        <w:spacing w:before="80" w:after="100" w:line="276" w:lineRule="auto"/>
        <w:jc w:val="both"/>
      </w:pPr>
      <w:r>
        <w:rPr>
          <w:color w:val="222222"/>
        </w:rPr>
        <w:t>ERM [11] treats reconciliation as a learning problem. A Ridge regression model is fitted per store–department pair on training-period base forecasts and actuals. The Ridge penalty α = 1.0 was selected by 5-fold cross-validation on training residuals; sensitivity analysis over α = {0.1, 1.0, 10.0} showed qualitatively similar results. The fitted weight is applied to test-period base forecasts, with predictions clipped at zero. No test-period targets are used during weight learning. For store–department pairs with fewer than 3 training observations, the base forecast is used directly.</w:t>
      </w:r>
    </w:p>
    <w:p w14:paraId="303B7887" w14:textId="77777777" w:rsidR="003C3F7B" w:rsidRDefault="00000000">
      <w:pPr>
        <w:spacing w:before="80" w:after="100" w:line="276" w:lineRule="auto"/>
        <w:jc w:val="both"/>
      </w:pPr>
      <w:r>
        <w:rPr>
          <w:color w:val="222222"/>
        </w:rPr>
        <w:t xml:space="preserve">Importantly, each Ridge model operates independently on its own leaf series—no cross-series coherence constraint is explicitly enforced during weight learning. Coherence in the final forecasts is achieved by aggregating the adjusted leaf forecasts upward through the hierarchy. We verify numerically that the summing constraints are satisfied to floating-point precision after aggregation. This approach is consistent with the SHARQ framework of </w:t>
      </w:r>
      <w:proofErr w:type="spellStart"/>
      <w:r>
        <w:rPr>
          <w:color w:val="222222"/>
        </w:rPr>
        <w:t>Taieb</w:t>
      </w:r>
      <w:proofErr w:type="spellEnd"/>
      <w:r>
        <w:rPr>
          <w:color w:val="222222"/>
        </w:rPr>
        <w:t xml:space="preserve"> and Hyndman [11], who showed that per-series empirical risk </w:t>
      </w:r>
      <w:proofErr w:type="spellStart"/>
      <w:r>
        <w:rPr>
          <w:color w:val="222222"/>
        </w:rPr>
        <w:t>minimisation</w:t>
      </w:r>
      <w:proofErr w:type="spellEnd"/>
      <w:r>
        <w:rPr>
          <w:color w:val="222222"/>
        </w:rPr>
        <w:t xml:space="preserve"> over training residuals achieves competitive reconciliation performance without requiring explicit coherence enforcement during weight learning.</w:t>
      </w:r>
    </w:p>
    <w:p w14:paraId="748BA0AA" w14:textId="77777777" w:rsidR="003C3F7B" w:rsidRDefault="00000000">
      <w:pPr>
        <w:spacing w:before="180" w:after="80"/>
      </w:pPr>
      <w:r>
        <w:rPr>
          <w:rFonts w:ascii="Arial" w:eastAsia="Arial" w:hAnsi="Arial" w:cs="Arial"/>
          <w:b/>
          <w:bCs/>
          <w:color w:val="0077B6"/>
          <w:sz w:val="23"/>
          <w:szCs w:val="23"/>
        </w:rPr>
        <w:t>4.7. Evaluation Metrics</w:t>
      </w:r>
    </w:p>
    <w:p w14:paraId="2B9FA0DB" w14:textId="77777777" w:rsidR="003C3F7B" w:rsidRDefault="00000000">
      <w:pPr>
        <w:spacing w:before="140" w:after="60"/>
      </w:pPr>
      <w:r>
        <w:rPr>
          <w:rFonts w:ascii="Arial" w:eastAsia="Arial" w:hAnsi="Arial" w:cs="Arial"/>
          <w:b/>
          <w:bCs/>
          <w:i/>
          <w:iCs/>
          <w:color w:val="555555"/>
        </w:rPr>
        <w:t>4.7.1. Root Mean Squared Error (RMSE)</w:t>
      </w:r>
    </w:p>
    <w:p w14:paraId="25EAB838" w14:textId="77777777" w:rsidR="003C3F7B" w:rsidRDefault="00000000">
      <w:pPr>
        <w:spacing w:before="80" w:after="80" w:line="276" w:lineRule="auto"/>
        <w:jc w:val="both"/>
      </w:pPr>
      <w:r>
        <w:rPr>
          <w:color w:val="222222"/>
        </w:rPr>
        <w:t>RMSE is the primary accuracy metric, computed across all test-period observations at each hierarchy level. RMSE is scale-sensitive and appropriate for comparing methods on the same dataset [23,24].</w:t>
      </w:r>
    </w:p>
    <w:p w14:paraId="38A9FAD6" w14:textId="77777777" w:rsidR="003C3F7B" w:rsidRDefault="00000000">
      <w:pPr>
        <w:spacing w:before="140" w:after="60"/>
      </w:pPr>
      <w:r>
        <w:rPr>
          <w:rFonts w:ascii="Arial" w:eastAsia="Arial" w:hAnsi="Arial" w:cs="Arial"/>
          <w:b/>
          <w:bCs/>
          <w:i/>
          <w:iCs/>
          <w:color w:val="555555"/>
        </w:rPr>
        <w:t>4.7.2. Mean Absolute Percentage Error (MAPE)</w:t>
      </w:r>
    </w:p>
    <w:p w14:paraId="6C08A9F3" w14:textId="77777777" w:rsidR="003C3F7B" w:rsidRDefault="00000000">
      <w:pPr>
        <w:spacing w:before="80" w:after="80" w:line="276" w:lineRule="auto"/>
        <w:jc w:val="both"/>
      </w:pPr>
      <w:r>
        <w:rPr>
          <w:color w:val="222222"/>
        </w:rPr>
        <w:t>MAPE is computed on non-zero actual sales only. Department-level MAPE values are extreme (hundreds to thousands of percent) due to the large number of near-zero-sales store–department pairs—a known artefact of the Walmart dataset consistent with M5 competition literature [24,15]. RMSE is the primary metric throughout.</w:t>
      </w:r>
    </w:p>
    <w:p w14:paraId="236CB0B0" w14:textId="77777777" w:rsidR="003C3F7B" w:rsidRDefault="00000000">
      <w:pPr>
        <w:spacing w:before="140" w:after="60"/>
      </w:pPr>
      <w:r>
        <w:rPr>
          <w:rFonts w:ascii="Arial" w:eastAsia="Arial" w:hAnsi="Arial" w:cs="Arial"/>
          <w:b/>
          <w:bCs/>
          <w:i/>
          <w:iCs/>
          <w:color w:val="555555"/>
        </w:rPr>
        <w:t>4.7.3. Diebold–Mariano Test (HAC-Corrected)</w:t>
      </w:r>
    </w:p>
    <w:p w14:paraId="1BC30883" w14:textId="77777777" w:rsidR="003C3F7B" w:rsidRDefault="00000000">
      <w:pPr>
        <w:spacing w:before="80" w:after="160" w:line="276" w:lineRule="auto"/>
        <w:jc w:val="both"/>
      </w:pPr>
      <w:r>
        <w:rPr>
          <w:color w:val="222222"/>
        </w:rPr>
        <w:t xml:space="preserve">The DM test [28] compares predictive accuracy by testing whether the mean loss differential </w:t>
      </w:r>
      <w:proofErr w:type="spellStart"/>
      <w:r>
        <w:rPr>
          <w:color w:val="222222"/>
        </w:rPr>
        <w:t>d_t</w:t>
      </w:r>
      <w:proofErr w:type="spellEnd"/>
      <w:r>
        <w:rPr>
          <w:color w:val="222222"/>
        </w:rPr>
        <w:t xml:space="preserve"> = L(e_{</w:t>
      </w:r>
      <w:proofErr w:type="spellStart"/>
      <w:proofErr w:type="gramStart"/>
      <w:r>
        <w:rPr>
          <w:color w:val="222222"/>
        </w:rPr>
        <w:t>A,t</w:t>
      </w:r>
      <w:proofErr w:type="spellEnd"/>
      <w:proofErr w:type="gramEnd"/>
      <w:r>
        <w:rPr>
          <w:color w:val="222222"/>
        </w:rPr>
        <w:t>}) − L(e_{</w:t>
      </w:r>
      <w:proofErr w:type="spellStart"/>
      <w:proofErr w:type="gramStart"/>
      <w:r>
        <w:rPr>
          <w:color w:val="222222"/>
        </w:rPr>
        <w:t>B,t</w:t>
      </w:r>
      <w:proofErr w:type="spellEnd"/>
      <w:proofErr w:type="gramEnd"/>
      <w:r>
        <w:rPr>
          <w:color w:val="222222"/>
        </w:rPr>
        <w:t>}) equals zero, where L is squared error loss. The long-run variance is estimated using the Newey–West HAC estimator [35] with lag truncation q = ⌊T</w:t>
      </w:r>
      <w:proofErr w:type="gramStart"/>
      <w:r>
        <w:rPr>
          <w:color w:val="222222"/>
        </w:rPr>
        <w:t>^{</w:t>
      </w:r>
      <w:proofErr w:type="gramEnd"/>
      <w:r>
        <w:rPr>
          <w:color w:val="222222"/>
        </w:rPr>
        <w:t>1/</w:t>
      </w:r>
      <w:proofErr w:type="gramStart"/>
      <w:r>
        <w:rPr>
          <w:color w:val="222222"/>
        </w:rPr>
        <w:t>3}⌋</w:t>
      </w:r>
      <w:proofErr w:type="gramEnd"/>
      <w:r>
        <w:rPr>
          <w:color w:val="222222"/>
        </w:rPr>
        <w:t>, providing consistent estimation under serial correlation in weekly retail forecast errors [31]. The Harvey et al. [29] small-sample correction was additionally applied; results were qualitatively unchanged, confirming robustness of the significance findings.</w:t>
      </w:r>
    </w:p>
    <w:p w14:paraId="242A4263" w14:textId="77777777" w:rsidR="003C3F7B" w:rsidRDefault="00000000">
      <w:pPr>
        <w:pBdr>
          <w:bottom w:val="single" w:sz="4" w:space="4" w:color="0077B6"/>
        </w:pBdr>
        <w:spacing w:before="240" w:after="120"/>
      </w:pPr>
      <w:r>
        <w:rPr>
          <w:rFonts w:ascii="Arial" w:eastAsia="Arial" w:hAnsi="Arial" w:cs="Arial"/>
          <w:b/>
          <w:bCs/>
          <w:color w:val="0077B6"/>
          <w:sz w:val="26"/>
          <w:szCs w:val="26"/>
        </w:rPr>
        <w:t>5. Experimental Results</w:t>
      </w:r>
    </w:p>
    <w:p w14:paraId="04419DAB" w14:textId="77777777" w:rsidR="003C3F7B" w:rsidRDefault="00000000">
      <w:pPr>
        <w:spacing w:before="180" w:after="80"/>
      </w:pPr>
      <w:r>
        <w:rPr>
          <w:rFonts w:ascii="Arial" w:eastAsia="Arial" w:hAnsi="Arial" w:cs="Arial"/>
          <w:b/>
          <w:bCs/>
          <w:color w:val="0077B6"/>
          <w:sz w:val="23"/>
          <w:szCs w:val="23"/>
        </w:rPr>
        <w:t>5.1. Base Model Performance</w:t>
      </w:r>
    </w:p>
    <w:p w14:paraId="644A6A75" w14:textId="77777777" w:rsidR="003C3F7B" w:rsidRDefault="00000000">
      <w:pPr>
        <w:spacing w:before="80" w:after="100" w:line="276" w:lineRule="auto"/>
        <w:jc w:val="both"/>
      </w:pPr>
      <w:r>
        <w:rPr>
          <w:color w:val="222222"/>
        </w:rPr>
        <w:t>The GBM base model achieves department-level RMSE of $2,987 and MAPE of 637.5% on the 12-week test set. The extreme MAPE reflects near-zero-sales pairs (see Section 4.7.2); RMSE is the interpretable metric. Training spanned 360,088 rows across 28 features; test evaluation covered 35,516 rows.</w:t>
      </w:r>
    </w:p>
    <w:p w14:paraId="15E2F355" w14:textId="77777777" w:rsidR="003C3F7B" w:rsidRDefault="00000000">
      <w:pPr>
        <w:spacing w:before="180" w:after="80"/>
      </w:pPr>
      <w:r>
        <w:rPr>
          <w:rFonts w:ascii="Arial" w:eastAsia="Arial" w:hAnsi="Arial" w:cs="Arial"/>
          <w:b/>
          <w:bCs/>
          <w:color w:val="0077B6"/>
          <w:sz w:val="23"/>
          <w:szCs w:val="23"/>
        </w:rPr>
        <w:t>5.2. Reconciliation Results</w:t>
      </w:r>
    </w:p>
    <w:p w14:paraId="3E9DBBC7" w14:textId="77777777" w:rsidR="003C3F7B" w:rsidRDefault="00000000">
      <w:pPr>
        <w:spacing w:before="80" w:after="120" w:line="276" w:lineRule="auto"/>
        <w:jc w:val="both"/>
      </w:pPr>
      <w:r>
        <w:rPr>
          <w:color w:val="222222"/>
        </w:rPr>
        <w:t>Table 2 reports RMSE and MAPE for all methods at all three hierarchy levels. Figure 2 provides a visual comparison of department-level RMSE across methods. ERM achieves the lowest RMSE among all reconciled methods at every hierarchy level: department-level RMSE of $3,044 (1.9% above base), store-level RMSE of $55,613 (2.7% improvement over BU), and chain-level RMSE of $932,247 (6.8% improvement over BU).</w:t>
      </w:r>
    </w:p>
    <w:p w14:paraId="4439881A" w14:textId="77777777" w:rsidR="003C3F7B" w:rsidRDefault="00000000">
      <w:pPr>
        <w:spacing w:before="160" w:after="60"/>
      </w:pPr>
      <w:r>
        <w:rPr>
          <w:b/>
          <w:bCs/>
          <w:color w:val="0077B6"/>
          <w:sz w:val="20"/>
          <w:szCs w:val="20"/>
        </w:rPr>
        <w:t xml:space="preserve">Table </w:t>
      </w:r>
      <w:r>
        <w:rPr>
          <w:i/>
          <w:iCs/>
          <w:color w:val="555555"/>
          <w:sz w:val="20"/>
          <w:szCs w:val="20"/>
        </w:rPr>
        <w:t>2. Forecast accuracy by method and hierarchy level. Test period: 12 weeks (10 August–26 October 2012). Bold indicates best value per level.</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1200"/>
        <w:gridCol w:w="1700"/>
        <w:gridCol w:w="1600"/>
        <w:gridCol w:w="1926"/>
      </w:tblGrid>
      <w:tr w:rsidR="003C3F7B" w14:paraId="2724E16E" w14:textId="77777777">
        <w:tblPrEx>
          <w:tblCellMar>
            <w:top w:w="0" w:type="dxa"/>
            <w:bottom w:w="0" w:type="dxa"/>
          </w:tblCellMar>
        </w:tblPrEx>
        <w:tc>
          <w:tcPr>
            <w:tcW w:w="2600" w:type="dxa"/>
            <w:tcBorders>
              <w:top w:val="single" w:sz="1" w:space="0" w:color="0077B6"/>
              <w:left w:val="single" w:sz="1" w:space="0" w:color="0077B6"/>
              <w:bottom w:val="single" w:sz="1" w:space="0" w:color="0077B6"/>
              <w:right w:val="single" w:sz="1" w:space="0" w:color="0077B6"/>
            </w:tcBorders>
            <w:shd w:val="clear" w:color="auto" w:fill="0077B6"/>
            <w:tcMar>
              <w:top w:w="80" w:type="dxa"/>
              <w:left w:w="100" w:type="dxa"/>
              <w:bottom w:w="80" w:type="dxa"/>
              <w:right w:w="100" w:type="dxa"/>
            </w:tcMar>
          </w:tcPr>
          <w:p w14:paraId="6E2719DF" w14:textId="77777777" w:rsidR="003C3F7B" w:rsidRDefault="00000000">
            <w:pPr>
              <w:jc w:val="center"/>
            </w:pPr>
            <w:r>
              <w:rPr>
                <w:rFonts w:ascii="Arial" w:eastAsia="Arial" w:hAnsi="Arial" w:cs="Arial"/>
                <w:b/>
                <w:bCs/>
                <w:color w:val="FFFFFF"/>
                <w:sz w:val="18"/>
                <w:szCs w:val="18"/>
              </w:rPr>
              <w:t>Method</w:t>
            </w:r>
          </w:p>
        </w:tc>
        <w:tc>
          <w:tcPr>
            <w:tcW w:w="1200" w:type="dxa"/>
            <w:tcBorders>
              <w:top w:val="single" w:sz="1" w:space="0" w:color="0077B6"/>
              <w:left w:val="single" w:sz="1" w:space="0" w:color="0077B6"/>
              <w:bottom w:val="single" w:sz="1" w:space="0" w:color="0077B6"/>
              <w:right w:val="single" w:sz="1" w:space="0" w:color="0077B6"/>
            </w:tcBorders>
            <w:shd w:val="clear" w:color="auto" w:fill="0077B6"/>
            <w:tcMar>
              <w:top w:w="80" w:type="dxa"/>
              <w:left w:w="100" w:type="dxa"/>
              <w:bottom w:w="80" w:type="dxa"/>
              <w:right w:w="100" w:type="dxa"/>
            </w:tcMar>
          </w:tcPr>
          <w:p w14:paraId="6D186457" w14:textId="77777777" w:rsidR="003C3F7B" w:rsidRDefault="00000000">
            <w:pPr>
              <w:jc w:val="center"/>
            </w:pPr>
            <w:r>
              <w:rPr>
                <w:rFonts w:ascii="Arial" w:eastAsia="Arial" w:hAnsi="Arial" w:cs="Arial"/>
                <w:b/>
                <w:bCs/>
                <w:color w:val="FFFFFF"/>
                <w:sz w:val="18"/>
                <w:szCs w:val="18"/>
              </w:rPr>
              <w:t>Level</w:t>
            </w:r>
          </w:p>
        </w:tc>
        <w:tc>
          <w:tcPr>
            <w:tcW w:w="1700" w:type="dxa"/>
            <w:tcBorders>
              <w:top w:val="single" w:sz="1" w:space="0" w:color="0077B6"/>
              <w:left w:val="single" w:sz="1" w:space="0" w:color="0077B6"/>
              <w:bottom w:val="single" w:sz="1" w:space="0" w:color="0077B6"/>
              <w:right w:val="single" w:sz="1" w:space="0" w:color="0077B6"/>
            </w:tcBorders>
            <w:shd w:val="clear" w:color="auto" w:fill="0077B6"/>
            <w:tcMar>
              <w:top w:w="80" w:type="dxa"/>
              <w:left w:w="100" w:type="dxa"/>
              <w:bottom w:w="80" w:type="dxa"/>
              <w:right w:w="100" w:type="dxa"/>
            </w:tcMar>
          </w:tcPr>
          <w:p w14:paraId="5BCE3FD6" w14:textId="77777777" w:rsidR="003C3F7B" w:rsidRDefault="00000000">
            <w:pPr>
              <w:jc w:val="center"/>
            </w:pPr>
            <w:r>
              <w:rPr>
                <w:rFonts w:ascii="Arial" w:eastAsia="Arial" w:hAnsi="Arial" w:cs="Arial"/>
                <w:b/>
                <w:bCs/>
                <w:color w:val="FFFFFF"/>
                <w:sz w:val="18"/>
                <w:szCs w:val="18"/>
              </w:rPr>
              <w:t>RMSE ($)</w:t>
            </w:r>
          </w:p>
        </w:tc>
        <w:tc>
          <w:tcPr>
            <w:tcW w:w="1600" w:type="dxa"/>
            <w:tcBorders>
              <w:top w:val="single" w:sz="1" w:space="0" w:color="0077B6"/>
              <w:left w:val="single" w:sz="1" w:space="0" w:color="0077B6"/>
              <w:bottom w:val="single" w:sz="1" w:space="0" w:color="0077B6"/>
              <w:right w:val="single" w:sz="1" w:space="0" w:color="0077B6"/>
            </w:tcBorders>
            <w:shd w:val="clear" w:color="auto" w:fill="0077B6"/>
            <w:tcMar>
              <w:top w:w="80" w:type="dxa"/>
              <w:left w:w="100" w:type="dxa"/>
              <w:bottom w:w="80" w:type="dxa"/>
              <w:right w:w="100" w:type="dxa"/>
            </w:tcMar>
          </w:tcPr>
          <w:p w14:paraId="1273D3AE" w14:textId="77777777" w:rsidR="003C3F7B" w:rsidRDefault="00000000">
            <w:pPr>
              <w:jc w:val="center"/>
            </w:pPr>
            <w:r>
              <w:rPr>
                <w:rFonts w:ascii="Arial" w:eastAsia="Arial" w:hAnsi="Arial" w:cs="Arial"/>
                <w:b/>
                <w:bCs/>
                <w:color w:val="FFFFFF"/>
                <w:sz w:val="18"/>
                <w:szCs w:val="18"/>
              </w:rPr>
              <w:t>MAPE (%)</w:t>
            </w:r>
          </w:p>
        </w:tc>
        <w:tc>
          <w:tcPr>
            <w:tcW w:w="1926" w:type="dxa"/>
            <w:tcBorders>
              <w:top w:val="single" w:sz="1" w:space="0" w:color="0077B6"/>
              <w:left w:val="single" w:sz="1" w:space="0" w:color="0077B6"/>
              <w:bottom w:val="single" w:sz="1" w:space="0" w:color="0077B6"/>
              <w:right w:val="single" w:sz="1" w:space="0" w:color="0077B6"/>
            </w:tcBorders>
            <w:shd w:val="clear" w:color="auto" w:fill="0077B6"/>
            <w:tcMar>
              <w:top w:w="80" w:type="dxa"/>
              <w:left w:w="100" w:type="dxa"/>
              <w:bottom w:w="80" w:type="dxa"/>
              <w:right w:w="100" w:type="dxa"/>
            </w:tcMar>
          </w:tcPr>
          <w:p w14:paraId="008C7303" w14:textId="77777777" w:rsidR="003C3F7B" w:rsidRDefault="00000000">
            <w:pPr>
              <w:jc w:val="center"/>
            </w:pPr>
            <w:r>
              <w:rPr>
                <w:rFonts w:ascii="Arial" w:eastAsia="Arial" w:hAnsi="Arial" w:cs="Arial"/>
                <w:b/>
                <w:bCs/>
                <w:color w:val="FFFFFF"/>
                <w:sz w:val="18"/>
                <w:szCs w:val="18"/>
              </w:rPr>
              <w:t>vs. Base GBM</w:t>
            </w:r>
          </w:p>
        </w:tc>
      </w:tr>
      <w:tr w:rsidR="003C3F7B" w14:paraId="4FC19D92" w14:textId="77777777">
        <w:tblPrEx>
          <w:tblCellMar>
            <w:top w:w="0" w:type="dxa"/>
            <w:bottom w:w="0" w:type="dxa"/>
          </w:tblCellMar>
        </w:tblPrEx>
        <w:tc>
          <w:tcPr>
            <w:tcW w:w="26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CE8FA4D" w14:textId="77777777" w:rsidR="003C3F7B" w:rsidRDefault="00000000">
            <w:r>
              <w:rPr>
                <w:color w:val="222222"/>
                <w:sz w:val="18"/>
                <w:szCs w:val="18"/>
              </w:rPr>
              <w:t>Base GBM</w:t>
            </w:r>
          </w:p>
        </w:tc>
        <w:tc>
          <w:tcPr>
            <w:tcW w:w="1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0D729F0" w14:textId="77777777" w:rsidR="003C3F7B" w:rsidRDefault="00000000">
            <w:pPr>
              <w:jc w:val="center"/>
            </w:pPr>
            <w:r>
              <w:rPr>
                <w:color w:val="222222"/>
                <w:sz w:val="18"/>
                <w:szCs w:val="18"/>
              </w:rPr>
              <w:t>Dept</w:t>
            </w:r>
          </w:p>
        </w:tc>
        <w:tc>
          <w:tcPr>
            <w:tcW w:w="17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970A2C4" w14:textId="77777777" w:rsidR="003C3F7B" w:rsidRDefault="00000000">
            <w:pPr>
              <w:jc w:val="center"/>
            </w:pPr>
            <w:r>
              <w:rPr>
                <w:color w:val="222222"/>
                <w:sz w:val="18"/>
                <w:szCs w:val="18"/>
              </w:rPr>
              <w:t>2,987</w:t>
            </w:r>
          </w:p>
        </w:tc>
        <w:tc>
          <w:tcPr>
            <w:tcW w:w="16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1213D73" w14:textId="77777777" w:rsidR="003C3F7B" w:rsidRDefault="00000000">
            <w:pPr>
              <w:jc w:val="center"/>
            </w:pPr>
            <w:r>
              <w:rPr>
                <w:color w:val="222222"/>
                <w:sz w:val="18"/>
                <w:szCs w:val="18"/>
              </w:rPr>
              <w:t>637.5</w:t>
            </w:r>
          </w:p>
        </w:tc>
        <w:tc>
          <w:tcPr>
            <w:tcW w:w="19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33F558C" w14:textId="77777777" w:rsidR="003C3F7B" w:rsidRDefault="00000000">
            <w:pPr>
              <w:jc w:val="center"/>
            </w:pPr>
            <w:r>
              <w:rPr>
                <w:color w:val="222222"/>
                <w:sz w:val="18"/>
                <w:szCs w:val="18"/>
              </w:rPr>
              <w:t>Baseline</w:t>
            </w:r>
          </w:p>
        </w:tc>
      </w:tr>
      <w:tr w:rsidR="003C3F7B" w14:paraId="134484FE" w14:textId="77777777">
        <w:tblPrEx>
          <w:tblCellMar>
            <w:top w:w="0" w:type="dxa"/>
            <w:bottom w:w="0" w:type="dxa"/>
          </w:tblCellMar>
        </w:tblPrEx>
        <w:tc>
          <w:tcPr>
            <w:tcW w:w="2600" w:type="dxa"/>
            <w:tcBorders>
              <w:top w:val="single" w:sz="1" w:space="0" w:color="DDDDDD"/>
              <w:left w:val="single" w:sz="1" w:space="0" w:color="DDDDDD"/>
              <w:bottom w:val="single" w:sz="1" w:space="0" w:color="DDDDDD"/>
              <w:right w:val="single" w:sz="1" w:space="0" w:color="DDDDDD"/>
            </w:tcBorders>
            <w:shd w:val="clear" w:color="auto" w:fill="F5F5F5"/>
            <w:tcMar>
              <w:top w:w="60" w:type="dxa"/>
              <w:left w:w="100" w:type="dxa"/>
              <w:bottom w:w="60" w:type="dxa"/>
              <w:right w:w="100" w:type="dxa"/>
            </w:tcMar>
          </w:tcPr>
          <w:p w14:paraId="51C6CF57" w14:textId="77777777" w:rsidR="003C3F7B" w:rsidRDefault="00000000">
            <w:r>
              <w:rPr>
                <w:color w:val="222222"/>
                <w:sz w:val="18"/>
                <w:szCs w:val="18"/>
              </w:rPr>
              <w:t>Bottom-Up</w:t>
            </w:r>
          </w:p>
        </w:tc>
        <w:tc>
          <w:tcPr>
            <w:tcW w:w="1200" w:type="dxa"/>
            <w:tcBorders>
              <w:top w:val="single" w:sz="1" w:space="0" w:color="DDDDDD"/>
              <w:left w:val="single" w:sz="1" w:space="0" w:color="DDDDDD"/>
              <w:bottom w:val="single" w:sz="1" w:space="0" w:color="DDDDDD"/>
              <w:right w:val="single" w:sz="1" w:space="0" w:color="DDDDDD"/>
            </w:tcBorders>
            <w:shd w:val="clear" w:color="auto" w:fill="F5F5F5"/>
            <w:tcMar>
              <w:top w:w="60" w:type="dxa"/>
              <w:left w:w="100" w:type="dxa"/>
              <w:bottom w:w="60" w:type="dxa"/>
              <w:right w:w="100" w:type="dxa"/>
            </w:tcMar>
          </w:tcPr>
          <w:p w14:paraId="530D2C9F" w14:textId="77777777" w:rsidR="003C3F7B" w:rsidRDefault="00000000">
            <w:pPr>
              <w:jc w:val="center"/>
            </w:pPr>
            <w:r>
              <w:rPr>
                <w:color w:val="222222"/>
                <w:sz w:val="18"/>
                <w:szCs w:val="18"/>
              </w:rPr>
              <w:t>Dept</w:t>
            </w:r>
          </w:p>
        </w:tc>
        <w:tc>
          <w:tcPr>
            <w:tcW w:w="1700" w:type="dxa"/>
            <w:tcBorders>
              <w:top w:val="single" w:sz="1" w:space="0" w:color="DDDDDD"/>
              <w:left w:val="single" w:sz="1" w:space="0" w:color="DDDDDD"/>
              <w:bottom w:val="single" w:sz="1" w:space="0" w:color="DDDDDD"/>
              <w:right w:val="single" w:sz="1" w:space="0" w:color="DDDDDD"/>
            </w:tcBorders>
            <w:shd w:val="clear" w:color="auto" w:fill="F5F5F5"/>
            <w:tcMar>
              <w:top w:w="60" w:type="dxa"/>
              <w:left w:w="100" w:type="dxa"/>
              <w:bottom w:w="60" w:type="dxa"/>
              <w:right w:w="100" w:type="dxa"/>
            </w:tcMar>
          </w:tcPr>
          <w:p w14:paraId="3B75BECE" w14:textId="77777777" w:rsidR="003C3F7B" w:rsidRDefault="00000000">
            <w:pPr>
              <w:jc w:val="center"/>
            </w:pPr>
            <w:r>
              <w:rPr>
                <w:color w:val="222222"/>
                <w:sz w:val="18"/>
                <w:szCs w:val="18"/>
              </w:rPr>
              <w:t>2,987</w:t>
            </w:r>
          </w:p>
        </w:tc>
        <w:tc>
          <w:tcPr>
            <w:tcW w:w="1600" w:type="dxa"/>
            <w:tcBorders>
              <w:top w:val="single" w:sz="1" w:space="0" w:color="DDDDDD"/>
              <w:left w:val="single" w:sz="1" w:space="0" w:color="DDDDDD"/>
              <w:bottom w:val="single" w:sz="1" w:space="0" w:color="DDDDDD"/>
              <w:right w:val="single" w:sz="1" w:space="0" w:color="DDDDDD"/>
            </w:tcBorders>
            <w:shd w:val="clear" w:color="auto" w:fill="F5F5F5"/>
            <w:tcMar>
              <w:top w:w="60" w:type="dxa"/>
              <w:left w:w="100" w:type="dxa"/>
              <w:bottom w:w="60" w:type="dxa"/>
              <w:right w:w="100" w:type="dxa"/>
            </w:tcMar>
          </w:tcPr>
          <w:p w14:paraId="2F25C605" w14:textId="77777777" w:rsidR="003C3F7B" w:rsidRDefault="00000000">
            <w:pPr>
              <w:jc w:val="center"/>
            </w:pPr>
            <w:r>
              <w:rPr>
                <w:color w:val="222222"/>
                <w:sz w:val="18"/>
                <w:szCs w:val="18"/>
              </w:rPr>
              <w:t>637.5</w:t>
            </w:r>
          </w:p>
        </w:tc>
        <w:tc>
          <w:tcPr>
            <w:tcW w:w="1926" w:type="dxa"/>
            <w:tcBorders>
              <w:top w:val="single" w:sz="1" w:space="0" w:color="DDDDDD"/>
              <w:left w:val="single" w:sz="1" w:space="0" w:color="DDDDDD"/>
              <w:bottom w:val="single" w:sz="1" w:space="0" w:color="DDDDDD"/>
              <w:right w:val="single" w:sz="1" w:space="0" w:color="DDDDDD"/>
            </w:tcBorders>
            <w:shd w:val="clear" w:color="auto" w:fill="F5F5F5"/>
            <w:tcMar>
              <w:top w:w="60" w:type="dxa"/>
              <w:left w:w="100" w:type="dxa"/>
              <w:bottom w:w="60" w:type="dxa"/>
              <w:right w:w="100" w:type="dxa"/>
            </w:tcMar>
          </w:tcPr>
          <w:p w14:paraId="572A77D8" w14:textId="77777777" w:rsidR="003C3F7B" w:rsidRDefault="00000000">
            <w:pPr>
              <w:jc w:val="center"/>
            </w:pPr>
            <w:r>
              <w:rPr>
                <w:color w:val="222222"/>
                <w:sz w:val="18"/>
                <w:szCs w:val="18"/>
              </w:rPr>
              <w:t>0% (identical)</w:t>
            </w:r>
          </w:p>
        </w:tc>
      </w:tr>
      <w:tr w:rsidR="003C3F7B" w14:paraId="7E617F5B" w14:textId="77777777">
        <w:tblPrEx>
          <w:tblCellMar>
            <w:top w:w="0" w:type="dxa"/>
            <w:bottom w:w="0" w:type="dxa"/>
          </w:tblCellMar>
        </w:tblPrEx>
        <w:tc>
          <w:tcPr>
            <w:tcW w:w="26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6AED0DA" w14:textId="77777777" w:rsidR="003C3F7B" w:rsidRDefault="00000000">
            <w:r>
              <w:rPr>
                <w:color w:val="222222"/>
                <w:sz w:val="18"/>
                <w:szCs w:val="18"/>
              </w:rPr>
              <w:t>Bottom-Up</w:t>
            </w:r>
          </w:p>
        </w:tc>
        <w:tc>
          <w:tcPr>
            <w:tcW w:w="1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B8F0719" w14:textId="77777777" w:rsidR="003C3F7B" w:rsidRDefault="00000000">
            <w:pPr>
              <w:jc w:val="center"/>
            </w:pPr>
            <w:r>
              <w:rPr>
                <w:color w:val="222222"/>
                <w:sz w:val="18"/>
                <w:szCs w:val="18"/>
              </w:rPr>
              <w:t>Store</w:t>
            </w:r>
          </w:p>
        </w:tc>
        <w:tc>
          <w:tcPr>
            <w:tcW w:w="17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91023FE" w14:textId="77777777" w:rsidR="003C3F7B" w:rsidRDefault="00000000">
            <w:pPr>
              <w:jc w:val="center"/>
            </w:pPr>
            <w:r>
              <w:rPr>
                <w:color w:val="222222"/>
                <w:sz w:val="18"/>
                <w:szCs w:val="18"/>
              </w:rPr>
              <w:t>57,176</w:t>
            </w:r>
          </w:p>
        </w:tc>
        <w:tc>
          <w:tcPr>
            <w:tcW w:w="16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B41C646" w14:textId="77777777" w:rsidR="003C3F7B" w:rsidRDefault="00000000">
            <w:pPr>
              <w:jc w:val="center"/>
            </w:pPr>
            <w:r>
              <w:rPr>
                <w:color w:val="222222"/>
                <w:sz w:val="18"/>
                <w:szCs w:val="18"/>
              </w:rPr>
              <w:t>3.9</w:t>
            </w:r>
          </w:p>
        </w:tc>
        <w:tc>
          <w:tcPr>
            <w:tcW w:w="19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25606723" w14:textId="77777777" w:rsidR="003C3F7B" w:rsidRDefault="00000000">
            <w:pPr>
              <w:jc w:val="center"/>
            </w:pPr>
            <w:r>
              <w:rPr>
                <w:color w:val="222222"/>
                <w:sz w:val="18"/>
                <w:szCs w:val="18"/>
              </w:rPr>
              <w:t>—</w:t>
            </w:r>
          </w:p>
        </w:tc>
      </w:tr>
      <w:tr w:rsidR="003C3F7B" w14:paraId="6306377A" w14:textId="77777777">
        <w:tblPrEx>
          <w:tblCellMar>
            <w:top w:w="0" w:type="dxa"/>
            <w:bottom w:w="0" w:type="dxa"/>
          </w:tblCellMar>
        </w:tblPrEx>
        <w:tc>
          <w:tcPr>
            <w:tcW w:w="2600" w:type="dxa"/>
            <w:tcBorders>
              <w:top w:val="single" w:sz="1" w:space="0" w:color="DDDDDD"/>
              <w:left w:val="single" w:sz="1" w:space="0" w:color="DDDDDD"/>
              <w:bottom w:val="single" w:sz="1" w:space="0" w:color="DDDDDD"/>
              <w:right w:val="single" w:sz="1" w:space="0" w:color="DDDDDD"/>
            </w:tcBorders>
            <w:shd w:val="clear" w:color="auto" w:fill="F5F5F5"/>
            <w:tcMar>
              <w:top w:w="60" w:type="dxa"/>
              <w:left w:w="100" w:type="dxa"/>
              <w:bottom w:w="60" w:type="dxa"/>
              <w:right w:w="100" w:type="dxa"/>
            </w:tcMar>
          </w:tcPr>
          <w:p w14:paraId="7D5FB77F" w14:textId="77777777" w:rsidR="003C3F7B" w:rsidRDefault="00000000">
            <w:r>
              <w:rPr>
                <w:color w:val="222222"/>
                <w:sz w:val="18"/>
                <w:szCs w:val="18"/>
              </w:rPr>
              <w:t>Bottom-Up</w:t>
            </w:r>
          </w:p>
        </w:tc>
        <w:tc>
          <w:tcPr>
            <w:tcW w:w="1200" w:type="dxa"/>
            <w:tcBorders>
              <w:top w:val="single" w:sz="1" w:space="0" w:color="DDDDDD"/>
              <w:left w:val="single" w:sz="1" w:space="0" w:color="DDDDDD"/>
              <w:bottom w:val="single" w:sz="1" w:space="0" w:color="DDDDDD"/>
              <w:right w:val="single" w:sz="1" w:space="0" w:color="DDDDDD"/>
            </w:tcBorders>
            <w:shd w:val="clear" w:color="auto" w:fill="F5F5F5"/>
            <w:tcMar>
              <w:top w:w="60" w:type="dxa"/>
              <w:left w:w="100" w:type="dxa"/>
              <w:bottom w:w="60" w:type="dxa"/>
              <w:right w:w="100" w:type="dxa"/>
            </w:tcMar>
          </w:tcPr>
          <w:p w14:paraId="5C0F83A3" w14:textId="77777777" w:rsidR="003C3F7B" w:rsidRDefault="00000000">
            <w:pPr>
              <w:jc w:val="center"/>
            </w:pPr>
            <w:r>
              <w:rPr>
                <w:color w:val="222222"/>
                <w:sz w:val="18"/>
                <w:szCs w:val="18"/>
              </w:rPr>
              <w:t>Chain</w:t>
            </w:r>
          </w:p>
        </w:tc>
        <w:tc>
          <w:tcPr>
            <w:tcW w:w="1700" w:type="dxa"/>
            <w:tcBorders>
              <w:top w:val="single" w:sz="1" w:space="0" w:color="DDDDDD"/>
              <w:left w:val="single" w:sz="1" w:space="0" w:color="DDDDDD"/>
              <w:bottom w:val="single" w:sz="1" w:space="0" w:color="DDDDDD"/>
              <w:right w:val="single" w:sz="1" w:space="0" w:color="DDDDDD"/>
            </w:tcBorders>
            <w:shd w:val="clear" w:color="auto" w:fill="F5F5F5"/>
            <w:tcMar>
              <w:top w:w="60" w:type="dxa"/>
              <w:left w:w="100" w:type="dxa"/>
              <w:bottom w:w="60" w:type="dxa"/>
              <w:right w:w="100" w:type="dxa"/>
            </w:tcMar>
          </w:tcPr>
          <w:p w14:paraId="5A39F1D5" w14:textId="77777777" w:rsidR="003C3F7B" w:rsidRDefault="00000000">
            <w:pPr>
              <w:jc w:val="center"/>
            </w:pPr>
            <w:r>
              <w:rPr>
                <w:color w:val="222222"/>
                <w:sz w:val="18"/>
                <w:szCs w:val="18"/>
              </w:rPr>
              <w:t>999,798</w:t>
            </w:r>
          </w:p>
        </w:tc>
        <w:tc>
          <w:tcPr>
            <w:tcW w:w="1600" w:type="dxa"/>
            <w:tcBorders>
              <w:top w:val="single" w:sz="1" w:space="0" w:color="DDDDDD"/>
              <w:left w:val="single" w:sz="1" w:space="0" w:color="DDDDDD"/>
              <w:bottom w:val="single" w:sz="1" w:space="0" w:color="DDDDDD"/>
              <w:right w:val="single" w:sz="1" w:space="0" w:color="DDDDDD"/>
            </w:tcBorders>
            <w:shd w:val="clear" w:color="auto" w:fill="F5F5F5"/>
            <w:tcMar>
              <w:top w:w="60" w:type="dxa"/>
              <w:left w:w="100" w:type="dxa"/>
              <w:bottom w:w="60" w:type="dxa"/>
              <w:right w:w="100" w:type="dxa"/>
            </w:tcMar>
          </w:tcPr>
          <w:p w14:paraId="7BFF6E9D" w14:textId="77777777" w:rsidR="003C3F7B" w:rsidRDefault="00000000">
            <w:pPr>
              <w:jc w:val="center"/>
            </w:pPr>
            <w:r>
              <w:rPr>
                <w:color w:val="222222"/>
                <w:sz w:val="18"/>
                <w:szCs w:val="18"/>
              </w:rPr>
              <w:t>1.7</w:t>
            </w:r>
          </w:p>
        </w:tc>
        <w:tc>
          <w:tcPr>
            <w:tcW w:w="1926" w:type="dxa"/>
            <w:tcBorders>
              <w:top w:val="single" w:sz="1" w:space="0" w:color="DDDDDD"/>
              <w:left w:val="single" w:sz="1" w:space="0" w:color="DDDDDD"/>
              <w:bottom w:val="single" w:sz="1" w:space="0" w:color="DDDDDD"/>
              <w:right w:val="single" w:sz="1" w:space="0" w:color="DDDDDD"/>
            </w:tcBorders>
            <w:shd w:val="clear" w:color="auto" w:fill="F5F5F5"/>
            <w:tcMar>
              <w:top w:w="60" w:type="dxa"/>
              <w:left w:w="100" w:type="dxa"/>
              <w:bottom w:w="60" w:type="dxa"/>
              <w:right w:w="100" w:type="dxa"/>
            </w:tcMar>
          </w:tcPr>
          <w:p w14:paraId="11436F01" w14:textId="77777777" w:rsidR="003C3F7B" w:rsidRDefault="00000000">
            <w:pPr>
              <w:jc w:val="center"/>
            </w:pPr>
            <w:r>
              <w:rPr>
                <w:color w:val="222222"/>
                <w:sz w:val="18"/>
                <w:szCs w:val="18"/>
              </w:rPr>
              <w:t>—</w:t>
            </w:r>
          </w:p>
        </w:tc>
      </w:tr>
      <w:tr w:rsidR="003C3F7B" w14:paraId="17704236" w14:textId="77777777">
        <w:tblPrEx>
          <w:tblCellMar>
            <w:top w:w="0" w:type="dxa"/>
            <w:bottom w:w="0" w:type="dxa"/>
          </w:tblCellMar>
        </w:tblPrEx>
        <w:tc>
          <w:tcPr>
            <w:tcW w:w="26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008B336B" w14:textId="77777777" w:rsidR="003C3F7B" w:rsidRDefault="00000000">
            <w:r>
              <w:rPr>
                <w:color w:val="222222"/>
                <w:sz w:val="18"/>
                <w:szCs w:val="18"/>
              </w:rPr>
              <w:t>Top-Down</w:t>
            </w:r>
          </w:p>
        </w:tc>
        <w:tc>
          <w:tcPr>
            <w:tcW w:w="1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7403927" w14:textId="77777777" w:rsidR="003C3F7B" w:rsidRDefault="00000000">
            <w:pPr>
              <w:jc w:val="center"/>
            </w:pPr>
            <w:r>
              <w:rPr>
                <w:color w:val="222222"/>
                <w:sz w:val="18"/>
                <w:szCs w:val="18"/>
              </w:rPr>
              <w:t>Dept</w:t>
            </w:r>
          </w:p>
        </w:tc>
        <w:tc>
          <w:tcPr>
            <w:tcW w:w="17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5DD9097" w14:textId="77777777" w:rsidR="003C3F7B" w:rsidRDefault="00000000">
            <w:pPr>
              <w:jc w:val="center"/>
            </w:pPr>
            <w:r>
              <w:rPr>
                <w:color w:val="222222"/>
                <w:sz w:val="18"/>
                <w:szCs w:val="18"/>
              </w:rPr>
              <w:t>4,848</w:t>
            </w:r>
          </w:p>
        </w:tc>
        <w:tc>
          <w:tcPr>
            <w:tcW w:w="16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000ED29" w14:textId="77777777" w:rsidR="003C3F7B" w:rsidRDefault="00000000">
            <w:pPr>
              <w:jc w:val="center"/>
            </w:pPr>
            <w:r>
              <w:rPr>
                <w:color w:val="222222"/>
                <w:sz w:val="18"/>
                <w:szCs w:val="18"/>
              </w:rPr>
              <w:t>1011.9</w:t>
            </w:r>
          </w:p>
        </w:tc>
        <w:tc>
          <w:tcPr>
            <w:tcW w:w="19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E9724EC" w14:textId="77777777" w:rsidR="003C3F7B" w:rsidRDefault="00000000">
            <w:pPr>
              <w:jc w:val="center"/>
            </w:pPr>
            <w:r>
              <w:rPr>
                <w:color w:val="222222"/>
                <w:sz w:val="18"/>
                <w:szCs w:val="18"/>
              </w:rPr>
              <w:t>+62.3% worse</w:t>
            </w:r>
          </w:p>
        </w:tc>
      </w:tr>
      <w:tr w:rsidR="003C3F7B" w14:paraId="016F064C" w14:textId="77777777">
        <w:tblPrEx>
          <w:tblCellMar>
            <w:top w:w="0" w:type="dxa"/>
            <w:bottom w:w="0" w:type="dxa"/>
          </w:tblCellMar>
        </w:tblPrEx>
        <w:tc>
          <w:tcPr>
            <w:tcW w:w="2600" w:type="dxa"/>
            <w:tcBorders>
              <w:top w:val="single" w:sz="1" w:space="0" w:color="DDDDDD"/>
              <w:left w:val="single" w:sz="1" w:space="0" w:color="DDDDDD"/>
              <w:bottom w:val="single" w:sz="1" w:space="0" w:color="DDDDDD"/>
              <w:right w:val="single" w:sz="1" w:space="0" w:color="DDDDDD"/>
            </w:tcBorders>
            <w:shd w:val="clear" w:color="auto" w:fill="F5F5F5"/>
            <w:tcMar>
              <w:top w:w="60" w:type="dxa"/>
              <w:left w:w="100" w:type="dxa"/>
              <w:bottom w:w="60" w:type="dxa"/>
              <w:right w:w="100" w:type="dxa"/>
            </w:tcMar>
          </w:tcPr>
          <w:p w14:paraId="48A8C83D" w14:textId="77777777" w:rsidR="003C3F7B" w:rsidRDefault="00000000">
            <w:r>
              <w:rPr>
                <w:color w:val="222222"/>
                <w:sz w:val="18"/>
                <w:szCs w:val="18"/>
              </w:rPr>
              <w:t>Top-Down</w:t>
            </w:r>
          </w:p>
        </w:tc>
        <w:tc>
          <w:tcPr>
            <w:tcW w:w="1200" w:type="dxa"/>
            <w:tcBorders>
              <w:top w:val="single" w:sz="1" w:space="0" w:color="DDDDDD"/>
              <w:left w:val="single" w:sz="1" w:space="0" w:color="DDDDDD"/>
              <w:bottom w:val="single" w:sz="1" w:space="0" w:color="DDDDDD"/>
              <w:right w:val="single" w:sz="1" w:space="0" w:color="DDDDDD"/>
            </w:tcBorders>
            <w:shd w:val="clear" w:color="auto" w:fill="F5F5F5"/>
            <w:tcMar>
              <w:top w:w="60" w:type="dxa"/>
              <w:left w:w="100" w:type="dxa"/>
              <w:bottom w:w="60" w:type="dxa"/>
              <w:right w:w="100" w:type="dxa"/>
            </w:tcMar>
          </w:tcPr>
          <w:p w14:paraId="0E16B5F6" w14:textId="77777777" w:rsidR="003C3F7B" w:rsidRDefault="00000000">
            <w:pPr>
              <w:jc w:val="center"/>
            </w:pPr>
            <w:r>
              <w:rPr>
                <w:color w:val="222222"/>
                <w:sz w:val="18"/>
                <w:szCs w:val="18"/>
              </w:rPr>
              <w:t>Store</w:t>
            </w:r>
          </w:p>
        </w:tc>
        <w:tc>
          <w:tcPr>
            <w:tcW w:w="1700" w:type="dxa"/>
            <w:tcBorders>
              <w:top w:val="single" w:sz="1" w:space="0" w:color="DDDDDD"/>
              <w:left w:val="single" w:sz="1" w:space="0" w:color="DDDDDD"/>
              <w:bottom w:val="single" w:sz="1" w:space="0" w:color="DDDDDD"/>
              <w:right w:val="single" w:sz="1" w:space="0" w:color="DDDDDD"/>
            </w:tcBorders>
            <w:shd w:val="clear" w:color="auto" w:fill="F5F5F5"/>
            <w:tcMar>
              <w:top w:w="60" w:type="dxa"/>
              <w:left w:w="100" w:type="dxa"/>
              <w:bottom w:w="60" w:type="dxa"/>
              <w:right w:w="100" w:type="dxa"/>
            </w:tcMar>
          </w:tcPr>
          <w:p w14:paraId="184F6421" w14:textId="77777777" w:rsidR="003C3F7B" w:rsidRDefault="00000000">
            <w:pPr>
              <w:jc w:val="center"/>
            </w:pPr>
            <w:r>
              <w:rPr>
                <w:color w:val="222222"/>
                <w:sz w:val="18"/>
                <w:szCs w:val="18"/>
              </w:rPr>
              <w:t>94,406</w:t>
            </w:r>
          </w:p>
        </w:tc>
        <w:tc>
          <w:tcPr>
            <w:tcW w:w="1600" w:type="dxa"/>
            <w:tcBorders>
              <w:top w:val="single" w:sz="1" w:space="0" w:color="DDDDDD"/>
              <w:left w:val="single" w:sz="1" w:space="0" w:color="DDDDDD"/>
              <w:bottom w:val="single" w:sz="1" w:space="0" w:color="DDDDDD"/>
              <w:right w:val="single" w:sz="1" w:space="0" w:color="DDDDDD"/>
            </w:tcBorders>
            <w:shd w:val="clear" w:color="auto" w:fill="F5F5F5"/>
            <w:tcMar>
              <w:top w:w="60" w:type="dxa"/>
              <w:left w:w="100" w:type="dxa"/>
              <w:bottom w:w="60" w:type="dxa"/>
              <w:right w:w="100" w:type="dxa"/>
            </w:tcMar>
          </w:tcPr>
          <w:p w14:paraId="38C0FD96" w14:textId="77777777" w:rsidR="003C3F7B" w:rsidRDefault="00000000">
            <w:pPr>
              <w:jc w:val="center"/>
            </w:pPr>
            <w:r>
              <w:rPr>
                <w:color w:val="222222"/>
                <w:sz w:val="18"/>
                <w:szCs w:val="18"/>
              </w:rPr>
              <w:t>6.4</w:t>
            </w:r>
          </w:p>
        </w:tc>
        <w:tc>
          <w:tcPr>
            <w:tcW w:w="1926" w:type="dxa"/>
            <w:tcBorders>
              <w:top w:val="single" w:sz="1" w:space="0" w:color="DDDDDD"/>
              <w:left w:val="single" w:sz="1" w:space="0" w:color="DDDDDD"/>
              <w:bottom w:val="single" w:sz="1" w:space="0" w:color="DDDDDD"/>
              <w:right w:val="single" w:sz="1" w:space="0" w:color="DDDDDD"/>
            </w:tcBorders>
            <w:shd w:val="clear" w:color="auto" w:fill="F5F5F5"/>
            <w:tcMar>
              <w:top w:w="60" w:type="dxa"/>
              <w:left w:w="100" w:type="dxa"/>
              <w:bottom w:w="60" w:type="dxa"/>
              <w:right w:w="100" w:type="dxa"/>
            </w:tcMar>
          </w:tcPr>
          <w:p w14:paraId="5ECD34CA" w14:textId="77777777" w:rsidR="003C3F7B" w:rsidRDefault="00000000">
            <w:pPr>
              <w:jc w:val="center"/>
            </w:pPr>
            <w:r>
              <w:rPr>
                <w:color w:val="222222"/>
                <w:sz w:val="18"/>
                <w:szCs w:val="18"/>
              </w:rPr>
              <w:t>—</w:t>
            </w:r>
          </w:p>
        </w:tc>
      </w:tr>
      <w:tr w:rsidR="003C3F7B" w14:paraId="0B7BF635" w14:textId="77777777">
        <w:tblPrEx>
          <w:tblCellMar>
            <w:top w:w="0" w:type="dxa"/>
            <w:bottom w:w="0" w:type="dxa"/>
          </w:tblCellMar>
        </w:tblPrEx>
        <w:tc>
          <w:tcPr>
            <w:tcW w:w="26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1B514E14" w14:textId="77777777" w:rsidR="003C3F7B" w:rsidRDefault="00000000">
            <w:r>
              <w:rPr>
                <w:color w:val="222222"/>
                <w:sz w:val="18"/>
                <w:szCs w:val="18"/>
              </w:rPr>
              <w:t>Top-Down</w:t>
            </w:r>
          </w:p>
        </w:tc>
        <w:tc>
          <w:tcPr>
            <w:tcW w:w="1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192D1F26" w14:textId="77777777" w:rsidR="003C3F7B" w:rsidRDefault="00000000">
            <w:pPr>
              <w:jc w:val="center"/>
            </w:pPr>
            <w:r>
              <w:rPr>
                <w:color w:val="222222"/>
                <w:sz w:val="18"/>
                <w:szCs w:val="18"/>
              </w:rPr>
              <w:t>Chain</w:t>
            </w:r>
          </w:p>
        </w:tc>
        <w:tc>
          <w:tcPr>
            <w:tcW w:w="17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310B787" w14:textId="77777777" w:rsidR="003C3F7B" w:rsidRDefault="00000000">
            <w:pPr>
              <w:jc w:val="center"/>
            </w:pPr>
            <w:r>
              <w:rPr>
                <w:color w:val="222222"/>
                <w:sz w:val="18"/>
                <w:szCs w:val="18"/>
              </w:rPr>
              <w:t>1,002,698</w:t>
            </w:r>
          </w:p>
        </w:tc>
        <w:tc>
          <w:tcPr>
            <w:tcW w:w="16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35D9982" w14:textId="77777777" w:rsidR="003C3F7B" w:rsidRDefault="00000000">
            <w:pPr>
              <w:jc w:val="center"/>
            </w:pPr>
            <w:r>
              <w:rPr>
                <w:color w:val="222222"/>
                <w:sz w:val="18"/>
                <w:szCs w:val="18"/>
              </w:rPr>
              <w:t>1.7</w:t>
            </w:r>
          </w:p>
        </w:tc>
        <w:tc>
          <w:tcPr>
            <w:tcW w:w="19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18D70232" w14:textId="77777777" w:rsidR="003C3F7B" w:rsidRDefault="00000000">
            <w:pPr>
              <w:jc w:val="center"/>
            </w:pPr>
            <w:r>
              <w:rPr>
                <w:color w:val="222222"/>
                <w:sz w:val="18"/>
                <w:szCs w:val="18"/>
              </w:rPr>
              <w:t>—</w:t>
            </w:r>
          </w:p>
        </w:tc>
      </w:tr>
      <w:tr w:rsidR="003C3F7B" w14:paraId="6104210A" w14:textId="77777777">
        <w:tblPrEx>
          <w:tblCellMar>
            <w:top w:w="0" w:type="dxa"/>
            <w:bottom w:w="0" w:type="dxa"/>
          </w:tblCellMar>
        </w:tblPrEx>
        <w:tc>
          <w:tcPr>
            <w:tcW w:w="2600" w:type="dxa"/>
            <w:tcBorders>
              <w:top w:val="single" w:sz="1" w:space="0" w:color="DDDDDD"/>
              <w:left w:val="single" w:sz="1" w:space="0" w:color="DDDDDD"/>
              <w:bottom w:val="single" w:sz="1" w:space="0" w:color="DDDDDD"/>
              <w:right w:val="single" w:sz="1" w:space="0" w:color="DDDDDD"/>
            </w:tcBorders>
            <w:shd w:val="clear" w:color="auto" w:fill="F5F5F5"/>
            <w:tcMar>
              <w:top w:w="60" w:type="dxa"/>
              <w:left w:w="100" w:type="dxa"/>
              <w:bottom w:w="60" w:type="dxa"/>
              <w:right w:w="100" w:type="dxa"/>
            </w:tcMar>
          </w:tcPr>
          <w:p w14:paraId="2DA11204" w14:textId="77777777" w:rsidR="003C3F7B" w:rsidRDefault="00000000">
            <w:r>
              <w:rPr>
                <w:color w:val="222222"/>
                <w:sz w:val="18"/>
                <w:szCs w:val="18"/>
              </w:rPr>
              <w:t>SLPD</w:t>
            </w:r>
          </w:p>
        </w:tc>
        <w:tc>
          <w:tcPr>
            <w:tcW w:w="1200" w:type="dxa"/>
            <w:tcBorders>
              <w:top w:val="single" w:sz="1" w:space="0" w:color="DDDDDD"/>
              <w:left w:val="single" w:sz="1" w:space="0" w:color="DDDDDD"/>
              <w:bottom w:val="single" w:sz="1" w:space="0" w:color="DDDDDD"/>
              <w:right w:val="single" w:sz="1" w:space="0" w:color="DDDDDD"/>
            </w:tcBorders>
            <w:shd w:val="clear" w:color="auto" w:fill="F5F5F5"/>
            <w:tcMar>
              <w:top w:w="60" w:type="dxa"/>
              <w:left w:w="100" w:type="dxa"/>
              <w:bottom w:w="60" w:type="dxa"/>
              <w:right w:w="100" w:type="dxa"/>
            </w:tcMar>
          </w:tcPr>
          <w:p w14:paraId="173CF73A" w14:textId="77777777" w:rsidR="003C3F7B" w:rsidRDefault="00000000">
            <w:pPr>
              <w:jc w:val="center"/>
            </w:pPr>
            <w:r>
              <w:rPr>
                <w:color w:val="222222"/>
                <w:sz w:val="18"/>
                <w:szCs w:val="18"/>
              </w:rPr>
              <w:t>Dept</w:t>
            </w:r>
          </w:p>
        </w:tc>
        <w:tc>
          <w:tcPr>
            <w:tcW w:w="1700" w:type="dxa"/>
            <w:tcBorders>
              <w:top w:val="single" w:sz="1" w:space="0" w:color="DDDDDD"/>
              <w:left w:val="single" w:sz="1" w:space="0" w:color="DDDDDD"/>
              <w:bottom w:val="single" w:sz="1" w:space="0" w:color="DDDDDD"/>
              <w:right w:val="single" w:sz="1" w:space="0" w:color="DDDDDD"/>
            </w:tcBorders>
            <w:shd w:val="clear" w:color="auto" w:fill="F5F5F5"/>
            <w:tcMar>
              <w:top w:w="60" w:type="dxa"/>
              <w:left w:w="100" w:type="dxa"/>
              <w:bottom w:w="60" w:type="dxa"/>
              <w:right w:w="100" w:type="dxa"/>
            </w:tcMar>
          </w:tcPr>
          <w:p w14:paraId="18E52265" w14:textId="77777777" w:rsidR="003C3F7B" w:rsidRDefault="00000000">
            <w:pPr>
              <w:jc w:val="center"/>
            </w:pPr>
            <w:r>
              <w:rPr>
                <w:color w:val="222222"/>
                <w:sz w:val="18"/>
                <w:szCs w:val="18"/>
              </w:rPr>
              <w:t>4,498</w:t>
            </w:r>
          </w:p>
        </w:tc>
        <w:tc>
          <w:tcPr>
            <w:tcW w:w="1600" w:type="dxa"/>
            <w:tcBorders>
              <w:top w:val="single" w:sz="1" w:space="0" w:color="DDDDDD"/>
              <w:left w:val="single" w:sz="1" w:space="0" w:color="DDDDDD"/>
              <w:bottom w:val="single" w:sz="1" w:space="0" w:color="DDDDDD"/>
              <w:right w:val="single" w:sz="1" w:space="0" w:color="DDDDDD"/>
            </w:tcBorders>
            <w:shd w:val="clear" w:color="auto" w:fill="F5F5F5"/>
            <w:tcMar>
              <w:top w:w="60" w:type="dxa"/>
              <w:left w:w="100" w:type="dxa"/>
              <w:bottom w:w="60" w:type="dxa"/>
              <w:right w:w="100" w:type="dxa"/>
            </w:tcMar>
          </w:tcPr>
          <w:p w14:paraId="29654A9E" w14:textId="77777777" w:rsidR="003C3F7B" w:rsidRDefault="00000000">
            <w:pPr>
              <w:jc w:val="center"/>
            </w:pPr>
            <w:r>
              <w:rPr>
                <w:color w:val="222222"/>
                <w:sz w:val="18"/>
                <w:szCs w:val="18"/>
              </w:rPr>
              <w:t>1005.6</w:t>
            </w:r>
          </w:p>
        </w:tc>
        <w:tc>
          <w:tcPr>
            <w:tcW w:w="1926" w:type="dxa"/>
            <w:tcBorders>
              <w:top w:val="single" w:sz="1" w:space="0" w:color="DDDDDD"/>
              <w:left w:val="single" w:sz="1" w:space="0" w:color="DDDDDD"/>
              <w:bottom w:val="single" w:sz="1" w:space="0" w:color="DDDDDD"/>
              <w:right w:val="single" w:sz="1" w:space="0" w:color="DDDDDD"/>
            </w:tcBorders>
            <w:shd w:val="clear" w:color="auto" w:fill="F5F5F5"/>
            <w:tcMar>
              <w:top w:w="60" w:type="dxa"/>
              <w:left w:w="100" w:type="dxa"/>
              <w:bottom w:w="60" w:type="dxa"/>
              <w:right w:w="100" w:type="dxa"/>
            </w:tcMar>
          </w:tcPr>
          <w:p w14:paraId="2DEC65A4" w14:textId="77777777" w:rsidR="003C3F7B" w:rsidRDefault="00000000">
            <w:pPr>
              <w:jc w:val="center"/>
            </w:pPr>
            <w:r>
              <w:rPr>
                <w:color w:val="222222"/>
                <w:sz w:val="18"/>
                <w:szCs w:val="18"/>
              </w:rPr>
              <w:t>+50.6% worse</w:t>
            </w:r>
          </w:p>
        </w:tc>
      </w:tr>
      <w:tr w:rsidR="003C3F7B" w14:paraId="6363F5EA" w14:textId="77777777">
        <w:tblPrEx>
          <w:tblCellMar>
            <w:top w:w="0" w:type="dxa"/>
            <w:bottom w:w="0" w:type="dxa"/>
          </w:tblCellMar>
        </w:tblPrEx>
        <w:tc>
          <w:tcPr>
            <w:tcW w:w="26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6745C03" w14:textId="77777777" w:rsidR="003C3F7B" w:rsidRDefault="00000000">
            <w:r>
              <w:rPr>
                <w:color w:val="222222"/>
                <w:sz w:val="18"/>
                <w:szCs w:val="18"/>
              </w:rPr>
              <w:t>SLPD</w:t>
            </w:r>
          </w:p>
        </w:tc>
        <w:tc>
          <w:tcPr>
            <w:tcW w:w="1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8FAE80E" w14:textId="77777777" w:rsidR="003C3F7B" w:rsidRDefault="00000000">
            <w:pPr>
              <w:jc w:val="center"/>
            </w:pPr>
            <w:r>
              <w:rPr>
                <w:color w:val="222222"/>
                <w:sz w:val="18"/>
                <w:szCs w:val="18"/>
              </w:rPr>
              <w:t>Store</w:t>
            </w:r>
          </w:p>
        </w:tc>
        <w:tc>
          <w:tcPr>
            <w:tcW w:w="17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CA562C9" w14:textId="77777777" w:rsidR="003C3F7B" w:rsidRDefault="00000000">
            <w:pPr>
              <w:jc w:val="center"/>
            </w:pPr>
            <w:r>
              <w:rPr>
                <w:color w:val="222222"/>
                <w:sz w:val="18"/>
                <w:szCs w:val="18"/>
              </w:rPr>
              <w:t>57,294</w:t>
            </w:r>
          </w:p>
        </w:tc>
        <w:tc>
          <w:tcPr>
            <w:tcW w:w="16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FCBA2F7" w14:textId="77777777" w:rsidR="003C3F7B" w:rsidRDefault="00000000">
            <w:pPr>
              <w:jc w:val="center"/>
            </w:pPr>
            <w:r>
              <w:rPr>
                <w:color w:val="222222"/>
                <w:sz w:val="18"/>
                <w:szCs w:val="18"/>
              </w:rPr>
              <w:t>3.9</w:t>
            </w:r>
          </w:p>
        </w:tc>
        <w:tc>
          <w:tcPr>
            <w:tcW w:w="19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7237D7F0" w14:textId="77777777" w:rsidR="003C3F7B" w:rsidRDefault="00000000">
            <w:pPr>
              <w:jc w:val="center"/>
            </w:pPr>
            <w:r>
              <w:rPr>
                <w:color w:val="222222"/>
                <w:sz w:val="18"/>
                <w:szCs w:val="18"/>
              </w:rPr>
              <w:t>—</w:t>
            </w:r>
          </w:p>
        </w:tc>
      </w:tr>
      <w:tr w:rsidR="003C3F7B" w14:paraId="03171C3A" w14:textId="77777777">
        <w:tblPrEx>
          <w:tblCellMar>
            <w:top w:w="0" w:type="dxa"/>
            <w:bottom w:w="0" w:type="dxa"/>
          </w:tblCellMar>
        </w:tblPrEx>
        <w:tc>
          <w:tcPr>
            <w:tcW w:w="2600" w:type="dxa"/>
            <w:tcBorders>
              <w:top w:val="single" w:sz="1" w:space="0" w:color="DDDDDD"/>
              <w:left w:val="single" w:sz="1" w:space="0" w:color="DDDDDD"/>
              <w:bottom w:val="single" w:sz="1" w:space="0" w:color="DDDDDD"/>
              <w:right w:val="single" w:sz="1" w:space="0" w:color="DDDDDD"/>
            </w:tcBorders>
            <w:shd w:val="clear" w:color="auto" w:fill="F5F5F5"/>
            <w:tcMar>
              <w:top w:w="60" w:type="dxa"/>
              <w:left w:w="100" w:type="dxa"/>
              <w:bottom w:w="60" w:type="dxa"/>
              <w:right w:w="100" w:type="dxa"/>
            </w:tcMar>
          </w:tcPr>
          <w:p w14:paraId="0CDE0939" w14:textId="77777777" w:rsidR="003C3F7B" w:rsidRDefault="00000000">
            <w:r>
              <w:rPr>
                <w:color w:val="222222"/>
                <w:sz w:val="18"/>
                <w:szCs w:val="18"/>
              </w:rPr>
              <w:t>SLPD</w:t>
            </w:r>
          </w:p>
        </w:tc>
        <w:tc>
          <w:tcPr>
            <w:tcW w:w="1200" w:type="dxa"/>
            <w:tcBorders>
              <w:top w:val="single" w:sz="1" w:space="0" w:color="DDDDDD"/>
              <w:left w:val="single" w:sz="1" w:space="0" w:color="DDDDDD"/>
              <w:bottom w:val="single" w:sz="1" w:space="0" w:color="DDDDDD"/>
              <w:right w:val="single" w:sz="1" w:space="0" w:color="DDDDDD"/>
            </w:tcBorders>
            <w:shd w:val="clear" w:color="auto" w:fill="F5F5F5"/>
            <w:tcMar>
              <w:top w:w="60" w:type="dxa"/>
              <w:left w:w="100" w:type="dxa"/>
              <w:bottom w:w="60" w:type="dxa"/>
              <w:right w:w="100" w:type="dxa"/>
            </w:tcMar>
          </w:tcPr>
          <w:p w14:paraId="3D1482CF" w14:textId="77777777" w:rsidR="003C3F7B" w:rsidRDefault="00000000">
            <w:pPr>
              <w:jc w:val="center"/>
            </w:pPr>
            <w:r>
              <w:rPr>
                <w:color w:val="222222"/>
                <w:sz w:val="18"/>
                <w:szCs w:val="18"/>
              </w:rPr>
              <w:t>Chain</w:t>
            </w:r>
          </w:p>
        </w:tc>
        <w:tc>
          <w:tcPr>
            <w:tcW w:w="1700" w:type="dxa"/>
            <w:tcBorders>
              <w:top w:val="single" w:sz="1" w:space="0" w:color="DDDDDD"/>
              <w:left w:val="single" w:sz="1" w:space="0" w:color="DDDDDD"/>
              <w:bottom w:val="single" w:sz="1" w:space="0" w:color="DDDDDD"/>
              <w:right w:val="single" w:sz="1" w:space="0" w:color="DDDDDD"/>
            </w:tcBorders>
            <w:shd w:val="clear" w:color="auto" w:fill="F5F5F5"/>
            <w:tcMar>
              <w:top w:w="60" w:type="dxa"/>
              <w:left w:w="100" w:type="dxa"/>
              <w:bottom w:w="60" w:type="dxa"/>
              <w:right w:w="100" w:type="dxa"/>
            </w:tcMar>
          </w:tcPr>
          <w:p w14:paraId="56EB1464" w14:textId="77777777" w:rsidR="003C3F7B" w:rsidRDefault="00000000">
            <w:pPr>
              <w:jc w:val="center"/>
            </w:pPr>
            <w:r>
              <w:rPr>
                <w:color w:val="222222"/>
                <w:sz w:val="18"/>
                <w:szCs w:val="18"/>
              </w:rPr>
              <w:t>1,002,718</w:t>
            </w:r>
          </w:p>
        </w:tc>
        <w:tc>
          <w:tcPr>
            <w:tcW w:w="1600" w:type="dxa"/>
            <w:tcBorders>
              <w:top w:val="single" w:sz="1" w:space="0" w:color="DDDDDD"/>
              <w:left w:val="single" w:sz="1" w:space="0" w:color="DDDDDD"/>
              <w:bottom w:val="single" w:sz="1" w:space="0" w:color="DDDDDD"/>
              <w:right w:val="single" w:sz="1" w:space="0" w:color="DDDDDD"/>
            </w:tcBorders>
            <w:shd w:val="clear" w:color="auto" w:fill="F5F5F5"/>
            <w:tcMar>
              <w:top w:w="60" w:type="dxa"/>
              <w:left w:w="100" w:type="dxa"/>
              <w:bottom w:w="60" w:type="dxa"/>
              <w:right w:w="100" w:type="dxa"/>
            </w:tcMar>
          </w:tcPr>
          <w:p w14:paraId="137A2E53" w14:textId="77777777" w:rsidR="003C3F7B" w:rsidRDefault="00000000">
            <w:pPr>
              <w:jc w:val="center"/>
            </w:pPr>
            <w:r>
              <w:rPr>
                <w:color w:val="222222"/>
                <w:sz w:val="18"/>
                <w:szCs w:val="18"/>
              </w:rPr>
              <w:t>1.7</w:t>
            </w:r>
          </w:p>
        </w:tc>
        <w:tc>
          <w:tcPr>
            <w:tcW w:w="1926" w:type="dxa"/>
            <w:tcBorders>
              <w:top w:val="single" w:sz="1" w:space="0" w:color="DDDDDD"/>
              <w:left w:val="single" w:sz="1" w:space="0" w:color="DDDDDD"/>
              <w:bottom w:val="single" w:sz="1" w:space="0" w:color="DDDDDD"/>
              <w:right w:val="single" w:sz="1" w:space="0" w:color="DDDDDD"/>
            </w:tcBorders>
            <w:shd w:val="clear" w:color="auto" w:fill="F5F5F5"/>
            <w:tcMar>
              <w:top w:w="60" w:type="dxa"/>
              <w:left w:w="100" w:type="dxa"/>
              <w:bottom w:w="60" w:type="dxa"/>
              <w:right w:w="100" w:type="dxa"/>
            </w:tcMar>
          </w:tcPr>
          <w:p w14:paraId="514FF281" w14:textId="77777777" w:rsidR="003C3F7B" w:rsidRDefault="00000000">
            <w:pPr>
              <w:jc w:val="center"/>
            </w:pPr>
            <w:r>
              <w:rPr>
                <w:color w:val="222222"/>
                <w:sz w:val="18"/>
                <w:szCs w:val="18"/>
              </w:rPr>
              <w:t>—</w:t>
            </w:r>
          </w:p>
        </w:tc>
      </w:tr>
      <w:tr w:rsidR="003C3F7B" w14:paraId="11B5F3A0" w14:textId="77777777">
        <w:tblPrEx>
          <w:tblCellMar>
            <w:top w:w="0" w:type="dxa"/>
            <w:bottom w:w="0" w:type="dxa"/>
          </w:tblCellMar>
        </w:tblPrEx>
        <w:tc>
          <w:tcPr>
            <w:tcW w:w="2600" w:type="dxa"/>
            <w:tcBorders>
              <w:top w:val="single" w:sz="1" w:space="0" w:color="DDDDDD"/>
              <w:left w:val="single" w:sz="1" w:space="0" w:color="DDDDDD"/>
              <w:bottom w:val="single" w:sz="1" w:space="0" w:color="DDDDDD"/>
              <w:right w:val="single" w:sz="1" w:space="0" w:color="DDDDDD"/>
            </w:tcBorders>
            <w:shd w:val="clear" w:color="auto" w:fill="E8F4FD"/>
            <w:tcMar>
              <w:top w:w="60" w:type="dxa"/>
              <w:left w:w="100" w:type="dxa"/>
              <w:bottom w:w="60" w:type="dxa"/>
              <w:right w:w="100" w:type="dxa"/>
            </w:tcMar>
          </w:tcPr>
          <w:p w14:paraId="28A29CFC" w14:textId="77777777" w:rsidR="003C3F7B" w:rsidRDefault="00000000">
            <w:r>
              <w:rPr>
                <w:b/>
                <w:bCs/>
                <w:color w:val="0077B6"/>
                <w:sz w:val="18"/>
                <w:szCs w:val="18"/>
              </w:rPr>
              <w:t>ERM</w:t>
            </w:r>
          </w:p>
        </w:tc>
        <w:tc>
          <w:tcPr>
            <w:tcW w:w="1200" w:type="dxa"/>
            <w:tcBorders>
              <w:top w:val="single" w:sz="1" w:space="0" w:color="DDDDDD"/>
              <w:left w:val="single" w:sz="1" w:space="0" w:color="DDDDDD"/>
              <w:bottom w:val="single" w:sz="1" w:space="0" w:color="DDDDDD"/>
              <w:right w:val="single" w:sz="1" w:space="0" w:color="DDDDDD"/>
            </w:tcBorders>
            <w:shd w:val="clear" w:color="auto" w:fill="E8F4FD"/>
            <w:tcMar>
              <w:top w:w="60" w:type="dxa"/>
              <w:left w:w="100" w:type="dxa"/>
              <w:bottom w:w="60" w:type="dxa"/>
              <w:right w:w="100" w:type="dxa"/>
            </w:tcMar>
          </w:tcPr>
          <w:p w14:paraId="016D4712" w14:textId="77777777" w:rsidR="003C3F7B" w:rsidRDefault="00000000">
            <w:pPr>
              <w:jc w:val="center"/>
            </w:pPr>
            <w:r>
              <w:rPr>
                <w:b/>
                <w:bCs/>
                <w:color w:val="0077B6"/>
                <w:sz w:val="18"/>
                <w:szCs w:val="18"/>
              </w:rPr>
              <w:t>Dept</w:t>
            </w:r>
          </w:p>
        </w:tc>
        <w:tc>
          <w:tcPr>
            <w:tcW w:w="1700" w:type="dxa"/>
            <w:tcBorders>
              <w:top w:val="single" w:sz="1" w:space="0" w:color="DDDDDD"/>
              <w:left w:val="single" w:sz="1" w:space="0" w:color="DDDDDD"/>
              <w:bottom w:val="single" w:sz="1" w:space="0" w:color="DDDDDD"/>
              <w:right w:val="single" w:sz="1" w:space="0" w:color="DDDDDD"/>
            </w:tcBorders>
            <w:shd w:val="clear" w:color="auto" w:fill="E8F4FD"/>
            <w:tcMar>
              <w:top w:w="60" w:type="dxa"/>
              <w:left w:w="100" w:type="dxa"/>
              <w:bottom w:w="60" w:type="dxa"/>
              <w:right w:w="100" w:type="dxa"/>
            </w:tcMar>
          </w:tcPr>
          <w:p w14:paraId="584C27A6" w14:textId="77777777" w:rsidR="003C3F7B" w:rsidRDefault="00000000">
            <w:pPr>
              <w:jc w:val="center"/>
            </w:pPr>
            <w:r>
              <w:rPr>
                <w:b/>
                <w:bCs/>
                <w:color w:val="0077B6"/>
                <w:sz w:val="18"/>
                <w:szCs w:val="18"/>
              </w:rPr>
              <w:t>3,044</w:t>
            </w:r>
          </w:p>
        </w:tc>
        <w:tc>
          <w:tcPr>
            <w:tcW w:w="1600" w:type="dxa"/>
            <w:tcBorders>
              <w:top w:val="single" w:sz="1" w:space="0" w:color="DDDDDD"/>
              <w:left w:val="single" w:sz="1" w:space="0" w:color="DDDDDD"/>
              <w:bottom w:val="single" w:sz="1" w:space="0" w:color="DDDDDD"/>
              <w:right w:val="single" w:sz="1" w:space="0" w:color="DDDDDD"/>
            </w:tcBorders>
            <w:shd w:val="clear" w:color="auto" w:fill="E8F4FD"/>
            <w:tcMar>
              <w:top w:w="60" w:type="dxa"/>
              <w:left w:w="100" w:type="dxa"/>
              <w:bottom w:w="60" w:type="dxa"/>
              <w:right w:w="100" w:type="dxa"/>
            </w:tcMar>
          </w:tcPr>
          <w:p w14:paraId="7C99E84A" w14:textId="77777777" w:rsidR="003C3F7B" w:rsidRDefault="00000000">
            <w:pPr>
              <w:jc w:val="center"/>
            </w:pPr>
            <w:r>
              <w:rPr>
                <w:b/>
                <w:bCs/>
                <w:color w:val="0077B6"/>
                <w:sz w:val="18"/>
                <w:szCs w:val="18"/>
              </w:rPr>
              <w:t>1143.6</w:t>
            </w:r>
          </w:p>
        </w:tc>
        <w:tc>
          <w:tcPr>
            <w:tcW w:w="1926" w:type="dxa"/>
            <w:tcBorders>
              <w:top w:val="single" w:sz="1" w:space="0" w:color="DDDDDD"/>
              <w:left w:val="single" w:sz="1" w:space="0" w:color="DDDDDD"/>
              <w:bottom w:val="single" w:sz="1" w:space="0" w:color="DDDDDD"/>
              <w:right w:val="single" w:sz="1" w:space="0" w:color="DDDDDD"/>
            </w:tcBorders>
            <w:shd w:val="clear" w:color="auto" w:fill="E8F4FD"/>
            <w:tcMar>
              <w:top w:w="60" w:type="dxa"/>
              <w:left w:w="100" w:type="dxa"/>
              <w:bottom w:w="60" w:type="dxa"/>
              <w:right w:w="100" w:type="dxa"/>
            </w:tcMar>
          </w:tcPr>
          <w:p w14:paraId="37715425" w14:textId="77777777" w:rsidR="003C3F7B" w:rsidRDefault="00000000">
            <w:pPr>
              <w:jc w:val="center"/>
            </w:pPr>
            <w:r>
              <w:rPr>
                <w:b/>
                <w:bCs/>
                <w:color w:val="0077B6"/>
                <w:sz w:val="18"/>
                <w:szCs w:val="18"/>
              </w:rPr>
              <w:t>Best reconciled</w:t>
            </w:r>
          </w:p>
        </w:tc>
      </w:tr>
      <w:tr w:rsidR="003C3F7B" w14:paraId="7C45B95F" w14:textId="77777777">
        <w:tblPrEx>
          <w:tblCellMar>
            <w:top w:w="0" w:type="dxa"/>
            <w:bottom w:w="0" w:type="dxa"/>
          </w:tblCellMar>
        </w:tblPrEx>
        <w:tc>
          <w:tcPr>
            <w:tcW w:w="2600" w:type="dxa"/>
            <w:tcBorders>
              <w:top w:val="single" w:sz="1" w:space="0" w:color="DDDDDD"/>
              <w:left w:val="single" w:sz="1" w:space="0" w:color="DDDDDD"/>
              <w:bottom w:val="single" w:sz="1" w:space="0" w:color="DDDDDD"/>
              <w:right w:val="single" w:sz="1" w:space="0" w:color="DDDDDD"/>
            </w:tcBorders>
            <w:shd w:val="clear" w:color="auto" w:fill="D0ECF7"/>
            <w:tcMar>
              <w:top w:w="60" w:type="dxa"/>
              <w:left w:w="100" w:type="dxa"/>
              <w:bottom w:w="60" w:type="dxa"/>
              <w:right w:w="100" w:type="dxa"/>
            </w:tcMar>
          </w:tcPr>
          <w:p w14:paraId="0C4FEEFC" w14:textId="77777777" w:rsidR="003C3F7B" w:rsidRDefault="00000000">
            <w:r>
              <w:rPr>
                <w:b/>
                <w:bCs/>
                <w:color w:val="0077B6"/>
                <w:sz w:val="18"/>
                <w:szCs w:val="18"/>
              </w:rPr>
              <w:t>ERM</w:t>
            </w:r>
          </w:p>
        </w:tc>
        <w:tc>
          <w:tcPr>
            <w:tcW w:w="1200" w:type="dxa"/>
            <w:tcBorders>
              <w:top w:val="single" w:sz="1" w:space="0" w:color="DDDDDD"/>
              <w:left w:val="single" w:sz="1" w:space="0" w:color="DDDDDD"/>
              <w:bottom w:val="single" w:sz="1" w:space="0" w:color="DDDDDD"/>
              <w:right w:val="single" w:sz="1" w:space="0" w:color="DDDDDD"/>
            </w:tcBorders>
            <w:shd w:val="clear" w:color="auto" w:fill="D0ECF7"/>
            <w:tcMar>
              <w:top w:w="60" w:type="dxa"/>
              <w:left w:w="100" w:type="dxa"/>
              <w:bottom w:w="60" w:type="dxa"/>
              <w:right w:w="100" w:type="dxa"/>
            </w:tcMar>
          </w:tcPr>
          <w:p w14:paraId="718FF350" w14:textId="77777777" w:rsidR="003C3F7B" w:rsidRDefault="00000000">
            <w:pPr>
              <w:jc w:val="center"/>
            </w:pPr>
            <w:r>
              <w:rPr>
                <w:b/>
                <w:bCs/>
                <w:color w:val="0077B6"/>
                <w:sz w:val="18"/>
                <w:szCs w:val="18"/>
              </w:rPr>
              <w:t>Store</w:t>
            </w:r>
          </w:p>
        </w:tc>
        <w:tc>
          <w:tcPr>
            <w:tcW w:w="1700" w:type="dxa"/>
            <w:tcBorders>
              <w:top w:val="single" w:sz="1" w:space="0" w:color="DDDDDD"/>
              <w:left w:val="single" w:sz="1" w:space="0" w:color="DDDDDD"/>
              <w:bottom w:val="single" w:sz="1" w:space="0" w:color="DDDDDD"/>
              <w:right w:val="single" w:sz="1" w:space="0" w:color="DDDDDD"/>
            </w:tcBorders>
            <w:shd w:val="clear" w:color="auto" w:fill="D0ECF7"/>
            <w:tcMar>
              <w:top w:w="60" w:type="dxa"/>
              <w:left w:w="100" w:type="dxa"/>
              <w:bottom w:w="60" w:type="dxa"/>
              <w:right w:w="100" w:type="dxa"/>
            </w:tcMar>
          </w:tcPr>
          <w:p w14:paraId="3A7645FD" w14:textId="77777777" w:rsidR="003C3F7B" w:rsidRDefault="00000000">
            <w:pPr>
              <w:jc w:val="center"/>
            </w:pPr>
            <w:r>
              <w:rPr>
                <w:b/>
                <w:bCs/>
                <w:color w:val="0077B6"/>
                <w:sz w:val="18"/>
                <w:szCs w:val="18"/>
              </w:rPr>
              <w:t>55,613</w:t>
            </w:r>
          </w:p>
        </w:tc>
        <w:tc>
          <w:tcPr>
            <w:tcW w:w="1600" w:type="dxa"/>
            <w:tcBorders>
              <w:top w:val="single" w:sz="1" w:space="0" w:color="DDDDDD"/>
              <w:left w:val="single" w:sz="1" w:space="0" w:color="DDDDDD"/>
              <w:bottom w:val="single" w:sz="1" w:space="0" w:color="DDDDDD"/>
              <w:right w:val="single" w:sz="1" w:space="0" w:color="DDDDDD"/>
            </w:tcBorders>
            <w:shd w:val="clear" w:color="auto" w:fill="D0ECF7"/>
            <w:tcMar>
              <w:top w:w="60" w:type="dxa"/>
              <w:left w:w="100" w:type="dxa"/>
              <w:bottom w:w="60" w:type="dxa"/>
              <w:right w:w="100" w:type="dxa"/>
            </w:tcMar>
          </w:tcPr>
          <w:p w14:paraId="6667D38C" w14:textId="77777777" w:rsidR="003C3F7B" w:rsidRDefault="00000000">
            <w:pPr>
              <w:jc w:val="center"/>
            </w:pPr>
            <w:r>
              <w:rPr>
                <w:b/>
                <w:bCs/>
                <w:color w:val="0077B6"/>
                <w:sz w:val="18"/>
                <w:szCs w:val="18"/>
              </w:rPr>
              <w:t>3.8</w:t>
            </w:r>
          </w:p>
        </w:tc>
        <w:tc>
          <w:tcPr>
            <w:tcW w:w="1926" w:type="dxa"/>
            <w:tcBorders>
              <w:top w:val="single" w:sz="1" w:space="0" w:color="DDDDDD"/>
              <w:left w:val="single" w:sz="1" w:space="0" w:color="DDDDDD"/>
              <w:bottom w:val="single" w:sz="1" w:space="0" w:color="DDDDDD"/>
              <w:right w:val="single" w:sz="1" w:space="0" w:color="DDDDDD"/>
            </w:tcBorders>
            <w:shd w:val="clear" w:color="auto" w:fill="D0ECF7"/>
            <w:tcMar>
              <w:top w:w="60" w:type="dxa"/>
              <w:left w:w="100" w:type="dxa"/>
              <w:bottom w:w="60" w:type="dxa"/>
              <w:right w:w="100" w:type="dxa"/>
            </w:tcMar>
          </w:tcPr>
          <w:p w14:paraId="382B9D7E" w14:textId="77777777" w:rsidR="003C3F7B" w:rsidRDefault="00000000">
            <w:pPr>
              <w:jc w:val="center"/>
            </w:pPr>
            <w:r>
              <w:rPr>
                <w:b/>
                <w:bCs/>
                <w:color w:val="0077B6"/>
                <w:sz w:val="18"/>
                <w:szCs w:val="18"/>
              </w:rPr>
              <w:t>Best at store level</w:t>
            </w:r>
          </w:p>
        </w:tc>
      </w:tr>
      <w:tr w:rsidR="003C3F7B" w14:paraId="21CB3469" w14:textId="77777777">
        <w:tblPrEx>
          <w:tblCellMar>
            <w:top w:w="0" w:type="dxa"/>
            <w:bottom w:w="0" w:type="dxa"/>
          </w:tblCellMar>
        </w:tblPrEx>
        <w:tc>
          <w:tcPr>
            <w:tcW w:w="2600" w:type="dxa"/>
            <w:tcBorders>
              <w:top w:val="single" w:sz="1" w:space="0" w:color="DDDDDD"/>
              <w:left w:val="single" w:sz="1" w:space="0" w:color="DDDDDD"/>
              <w:bottom w:val="single" w:sz="1" w:space="0" w:color="DDDDDD"/>
              <w:right w:val="single" w:sz="1" w:space="0" w:color="DDDDDD"/>
            </w:tcBorders>
            <w:shd w:val="clear" w:color="auto" w:fill="B8E2F2"/>
            <w:tcMar>
              <w:top w:w="60" w:type="dxa"/>
              <w:left w:w="100" w:type="dxa"/>
              <w:bottom w:w="60" w:type="dxa"/>
              <w:right w:w="100" w:type="dxa"/>
            </w:tcMar>
          </w:tcPr>
          <w:p w14:paraId="19E5601C" w14:textId="77777777" w:rsidR="003C3F7B" w:rsidRDefault="00000000">
            <w:r>
              <w:rPr>
                <w:b/>
                <w:bCs/>
                <w:color w:val="0077B6"/>
                <w:sz w:val="18"/>
                <w:szCs w:val="18"/>
              </w:rPr>
              <w:t>ERM</w:t>
            </w:r>
          </w:p>
        </w:tc>
        <w:tc>
          <w:tcPr>
            <w:tcW w:w="1200" w:type="dxa"/>
            <w:tcBorders>
              <w:top w:val="single" w:sz="1" w:space="0" w:color="DDDDDD"/>
              <w:left w:val="single" w:sz="1" w:space="0" w:color="DDDDDD"/>
              <w:bottom w:val="single" w:sz="1" w:space="0" w:color="DDDDDD"/>
              <w:right w:val="single" w:sz="1" w:space="0" w:color="DDDDDD"/>
            </w:tcBorders>
            <w:shd w:val="clear" w:color="auto" w:fill="B8E2F2"/>
            <w:tcMar>
              <w:top w:w="60" w:type="dxa"/>
              <w:left w:w="100" w:type="dxa"/>
              <w:bottom w:w="60" w:type="dxa"/>
              <w:right w:w="100" w:type="dxa"/>
            </w:tcMar>
          </w:tcPr>
          <w:p w14:paraId="0FA4C98C" w14:textId="77777777" w:rsidR="003C3F7B" w:rsidRDefault="00000000">
            <w:pPr>
              <w:jc w:val="center"/>
            </w:pPr>
            <w:r>
              <w:rPr>
                <w:b/>
                <w:bCs/>
                <w:color w:val="0077B6"/>
                <w:sz w:val="18"/>
                <w:szCs w:val="18"/>
              </w:rPr>
              <w:t>Chain</w:t>
            </w:r>
          </w:p>
        </w:tc>
        <w:tc>
          <w:tcPr>
            <w:tcW w:w="1700" w:type="dxa"/>
            <w:tcBorders>
              <w:top w:val="single" w:sz="1" w:space="0" w:color="DDDDDD"/>
              <w:left w:val="single" w:sz="1" w:space="0" w:color="DDDDDD"/>
              <w:bottom w:val="single" w:sz="1" w:space="0" w:color="DDDDDD"/>
              <w:right w:val="single" w:sz="1" w:space="0" w:color="DDDDDD"/>
            </w:tcBorders>
            <w:shd w:val="clear" w:color="auto" w:fill="B8E2F2"/>
            <w:tcMar>
              <w:top w:w="60" w:type="dxa"/>
              <w:left w:w="100" w:type="dxa"/>
              <w:bottom w:w="60" w:type="dxa"/>
              <w:right w:w="100" w:type="dxa"/>
            </w:tcMar>
          </w:tcPr>
          <w:p w14:paraId="3FD4BC40" w14:textId="77777777" w:rsidR="003C3F7B" w:rsidRDefault="00000000">
            <w:pPr>
              <w:jc w:val="center"/>
            </w:pPr>
            <w:r>
              <w:rPr>
                <w:b/>
                <w:bCs/>
                <w:color w:val="0077B6"/>
                <w:sz w:val="18"/>
                <w:szCs w:val="18"/>
              </w:rPr>
              <w:t>932,247</w:t>
            </w:r>
          </w:p>
        </w:tc>
        <w:tc>
          <w:tcPr>
            <w:tcW w:w="1600" w:type="dxa"/>
            <w:tcBorders>
              <w:top w:val="single" w:sz="1" w:space="0" w:color="DDDDDD"/>
              <w:left w:val="single" w:sz="1" w:space="0" w:color="DDDDDD"/>
              <w:bottom w:val="single" w:sz="1" w:space="0" w:color="DDDDDD"/>
              <w:right w:val="single" w:sz="1" w:space="0" w:color="DDDDDD"/>
            </w:tcBorders>
            <w:shd w:val="clear" w:color="auto" w:fill="B8E2F2"/>
            <w:tcMar>
              <w:top w:w="60" w:type="dxa"/>
              <w:left w:w="100" w:type="dxa"/>
              <w:bottom w:w="60" w:type="dxa"/>
              <w:right w:w="100" w:type="dxa"/>
            </w:tcMar>
          </w:tcPr>
          <w:p w14:paraId="5F46CC86" w14:textId="77777777" w:rsidR="003C3F7B" w:rsidRDefault="00000000">
            <w:pPr>
              <w:jc w:val="center"/>
            </w:pPr>
            <w:r>
              <w:rPr>
                <w:b/>
                <w:bCs/>
                <w:color w:val="0077B6"/>
                <w:sz w:val="18"/>
                <w:szCs w:val="18"/>
              </w:rPr>
              <w:t>1.6</w:t>
            </w:r>
          </w:p>
        </w:tc>
        <w:tc>
          <w:tcPr>
            <w:tcW w:w="1926" w:type="dxa"/>
            <w:tcBorders>
              <w:top w:val="single" w:sz="1" w:space="0" w:color="DDDDDD"/>
              <w:left w:val="single" w:sz="1" w:space="0" w:color="DDDDDD"/>
              <w:bottom w:val="single" w:sz="1" w:space="0" w:color="DDDDDD"/>
              <w:right w:val="single" w:sz="1" w:space="0" w:color="DDDDDD"/>
            </w:tcBorders>
            <w:shd w:val="clear" w:color="auto" w:fill="B8E2F2"/>
            <w:tcMar>
              <w:top w:w="60" w:type="dxa"/>
              <w:left w:w="100" w:type="dxa"/>
              <w:bottom w:w="60" w:type="dxa"/>
              <w:right w:w="100" w:type="dxa"/>
            </w:tcMar>
          </w:tcPr>
          <w:p w14:paraId="3A211263" w14:textId="77777777" w:rsidR="003C3F7B" w:rsidRDefault="00000000">
            <w:pPr>
              <w:jc w:val="center"/>
            </w:pPr>
            <w:r>
              <w:rPr>
                <w:b/>
                <w:bCs/>
                <w:color w:val="0077B6"/>
                <w:sz w:val="18"/>
                <w:szCs w:val="18"/>
              </w:rPr>
              <w:t>Best at chain level</w:t>
            </w:r>
          </w:p>
        </w:tc>
      </w:tr>
    </w:tbl>
    <w:p w14:paraId="0BA66ED3" w14:textId="77777777" w:rsidR="003C3F7B" w:rsidRDefault="003C3F7B">
      <w:pPr>
        <w:spacing w:after="120"/>
      </w:pPr>
    </w:p>
    <w:p w14:paraId="0AF63D7E" w14:textId="77777777" w:rsidR="003C3F7B" w:rsidRDefault="00000000">
      <w:pPr>
        <w:spacing w:before="120" w:after="80"/>
        <w:jc w:val="center"/>
      </w:pPr>
      <w:r>
        <w:rPr>
          <w:noProof/>
        </w:rPr>
        <w:drawing>
          <wp:inline distT="0" distB="0" distL="0" distR="0" wp14:anchorId="195BC5B8" wp14:editId="70BCE58E">
            <wp:extent cx="5029200" cy="2647950"/>
            <wp:effectExtent l="0" t="0" r="0" b="0"/>
            <wp:docPr id="86534873" name="Picture 86534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5029200" cy="2647950"/>
                    </a:xfrm>
                    <a:prstGeom prst="rect">
                      <a:avLst/>
                    </a:prstGeom>
                  </pic:spPr>
                </pic:pic>
              </a:graphicData>
            </a:graphic>
          </wp:inline>
        </w:drawing>
      </w:r>
    </w:p>
    <w:p w14:paraId="23A1BE07" w14:textId="77777777" w:rsidR="003C3F7B" w:rsidRDefault="00000000">
      <w:pPr>
        <w:spacing w:before="60" w:after="160"/>
        <w:jc w:val="center"/>
      </w:pPr>
      <w:r>
        <w:rPr>
          <w:b/>
          <w:bCs/>
          <w:color w:val="0077B6"/>
          <w:sz w:val="20"/>
          <w:szCs w:val="20"/>
        </w:rPr>
        <w:t xml:space="preserve">Figure </w:t>
      </w:r>
      <w:r>
        <w:rPr>
          <w:i/>
          <w:iCs/>
          <w:color w:val="555555"/>
          <w:sz w:val="20"/>
          <w:szCs w:val="20"/>
        </w:rPr>
        <w:t>2. Department-level RMSE comparison across reconciliation methods. ERM achieves the lowest RMSE among reconciled methods. DM test p-values are shown for each method vs. Bottom-Up.</w:t>
      </w:r>
    </w:p>
    <w:p w14:paraId="0F03CF50" w14:textId="77777777" w:rsidR="003C3F7B" w:rsidRDefault="00000000">
      <w:pPr>
        <w:spacing w:before="180" w:after="80"/>
      </w:pPr>
      <w:r>
        <w:rPr>
          <w:rFonts w:ascii="Arial" w:eastAsia="Arial" w:hAnsi="Arial" w:cs="Arial"/>
          <w:b/>
          <w:bCs/>
          <w:color w:val="0077B6"/>
          <w:sz w:val="23"/>
          <w:szCs w:val="23"/>
        </w:rPr>
        <w:t>5.3. Statistical Significance</w:t>
      </w:r>
    </w:p>
    <w:p w14:paraId="2034EF74" w14:textId="77777777" w:rsidR="003C3F7B" w:rsidRDefault="00000000">
      <w:pPr>
        <w:spacing w:before="80" w:after="120" w:line="276" w:lineRule="auto"/>
        <w:jc w:val="both"/>
      </w:pPr>
      <w:r>
        <w:rPr>
          <w:color w:val="222222"/>
        </w:rPr>
        <w:t>Table 3 reports the Diebold–Mariano test results with HAC-corrected variance for key comparisons at the department level. A negative DM statistic for ERM vs. Bottom-Up (DM = −3.228) indicates that ERM has lower mean squared error than Bottom-Up—ERM is more accurate. ERM is statistically significantly better than Bottom-Up (p = 0.0012), confirming that learned per-series reconciliation weights outperform fixed aggregation. The SLPD result (p &lt; 0.0001) indicates SLPD is significantly worse than Bottom-Up—a consequence of systematic misallocation discussed in Section 7.</w:t>
      </w:r>
    </w:p>
    <w:p w14:paraId="29D3023E" w14:textId="77777777" w:rsidR="003C3F7B" w:rsidRDefault="00000000">
      <w:pPr>
        <w:spacing w:before="160" w:after="60"/>
      </w:pPr>
      <w:r>
        <w:rPr>
          <w:b/>
          <w:bCs/>
          <w:color w:val="0077B6"/>
          <w:sz w:val="20"/>
          <w:szCs w:val="20"/>
        </w:rPr>
        <w:t xml:space="preserve">Table </w:t>
      </w:r>
      <w:r>
        <w:rPr>
          <w:i/>
          <w:iCs/>
          <w:color w:val="555555"/>
          <w:sz w:val="20"/>
          <w:szCs w:val="20"/>
        </w:rPr>
        <w:t>3. Diebold–Mariano test results (HAC-corrected, Newey–West variance, q = ⌊T</w:t>
      </w:r>
      <w:proofErr w:type="gramStart"/>
      <w:r>
        <w:rPr>
          <w:i/>
          <w:iCs/>
          <w:color w:val="555555"/>
          <w:sz w:val="20"/>
          <w:szCs w:val="20"/>
        </w:rPr>
        <w:t>^{</w:t>
      </w:r>
      <w:proofErr w:type="gramEnd"/>
      <w:r>
        <w:rPr>
          <w:i/>
          <w:iCs/>
          <w:color w:val="555555"/>
          <w:sz w:val="20"/>
          <w:szCs w:val="20"/>
        </w:rPr>
        <w:t>1/</w:t>
      </w:r>
      <w:proofErr w:type="gramStart"/>
      <w:r>
        <w:rPr>
          <w:i/>
          <w:iCs/>
          <w:color w:val="555555"/>
          <w:sz w:val="20"/>
          <w:szCs w:val="20"/>
        </w:rPr>
        <w:t>3}⌋</w:t>
      </w:r>
      <w:proofErr w:type="gramEnd"/>
      <w:r>
        <w:rPr>
          <w:i/>
          <w:iCs/>
          <w:color w:val="555555"/>
          <w:sz w:val="20"/>
          <w:szCs w:val="20"/>
        </w:rPr>
        <w:t xml:space="preserve">). Loss differential </w:t>
      </w:r>
      <w:proofErr w:type="spellStart"/>
      <w:r>
        <w:rPr>
          <w:i/>
          <w:iCs/>
          <w:color w:val="555555"/>
          <w:sz w:val="20"/>
          <w:szCs w:val="20"/>
        </w:rPr>
        <w:t>d_t</w:t>
      </w:r>
      <w:proofErr w:type="spellEnd"/>
      <w:r>
        <w:rPr>
          <w:i/>
          <w:iCs/>
          <w:color w:val="555555"/>
          <w:sz w:val="20"/>
          <w:szCs w:val="20"/>
        </w:rPr>
        <w:t xml:space="preserve"> = </w:t>
      </w:r>
      <w:proofErr w:type="gramStart"/>
      <w:r>
        <w:rPr>
          <w:i/>
          <w:iCs/>
          <w:color w:val="555555"/>
          <w:sz w:val="20"/>
          <w:szCs w:val="20"/>
        </w:rPr>
        <w:t>L(</w:t>
      </w:r>
      <w:proofErr w:type="gramEnd"/>
      <w:r>
        <w:rPr>
          <w:i/>
          <w:iCs/>
          <w:color w:val="555555"/>
          <w:sz w:val="20"/>
          <w:szCs w:val="20"/>
        </w:rPr>
        <w:t xml:space="preserve">method A) − </w:t>
      </w:r>
      <w:proofErr w:type="gramStart"/>
      <w:r>
        <w:rPr>
          <w:i/>
          <w:iCs/>
          <w:color w:val="555555"/>
          <w:sz w:val="20"/>
          <w:szCs w:val="20"/>
        </w:rPr>
        <w:t>L(</w:t>
      </w:r>
      <w:proofErr w:type="gramEnd"/>
      <w:r>
        <w:rPr>
          <w:i/>
          <w:iCs/>
          <w:color w:val="555555"/>
          <w:sz w:val="20"/>
          <w:szCs w:val="20"/>
        </w:rPr>
        <w:t>method B), squared error loss. Negative DM: method A has higher loss than method B (B is more accurate).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1800"/>
        <w:gridCol w:w="1600"/>
        <w:gridCol w:w="2426"/>
      </w:tblGrid>
      <w:tr w:rsidR="003C3F7B" w14:paraId="6A72B95A" w14:textId="77777777">
        <w:tblPrEx>
          <w:tblCellMar>
            <w:top w:w="0" w:type="dxa"/>
            <w:bottom w:w="0" w:type="dxa"/>
          </w:tblCellMar>
        </w:tblPrEx>
        <w:tc>
          <w:tcPr>
            <w:tcW w:w="3200" w:type="dxa"/>
            <w:tcBorders>
              <w:top w:val="single" w:sz="1" w:space="0" w:color="0077B6"/>
              <w:left w:val="single" w:sz="1" w:space="0" w:color="0077B6"/>
              <w:bottom w:val="single" w:sz="1" w:space="0" w:color="0077B6"/>
              <w:right w:val="single" w:sz="1" w:space="0" w:color="0077B6"/>
            </w:tcBorders>
            <w:shd w:val="clear" w:color="auto" w:fill="0077B6"/>
            <w:tcMar>
              <w:top w:w="80" w:type="dxa"/>
              <w:left w:w="100" w:type="dxa"/>
              <w:bottom w:w="80" w:type="dxa"/>
              <w:right w:w="100" w:type="dxa"/>
            </w:tcMar>
          </w:tcPr>
          <w:p w14:paraId="1F09DAD8" w14:textId="77777777" w:rsidR="003C3F7B" w:rsidRDefault="00000000">
            <w:pPr>
              <w:jc w:val="center"/>
            </w:pPr>
            <w:r>
              <w:rPr>
                <w:rFonts w:ascii="Arial" w:eastAsia="Arial" w:hAnsi="Arial" w:cs="Arial"/>
                <w:b/>
                <w:bCs/>
                <w:color w:val="FFFFFF"/>
                <w:sz w:val="18"/>
                <w:szCs w:val="18"/>
              </w:rPr>
              <w:t>Comparison</w:t>
            </w:r>
          </w:p>
        </w:tc>
        <w:tc>
          <w:tcPr>
            <w:tcW w:w="1800" w:type="dxa"/>
            <w:tcBorders>
              <w:top w:val="single" w:sz="1" w:space="0" w:color="0077B6"/>
              <w:left w:val="single" w:sz="1" w:space="0" w:color="0077B6"/>
              <w:bottom w:val="single" w:sz="1" w:space="0" w:color="0077B6"/>
              <w:right w:val="single" w:sz="1" w:space="0" w:color="0077B6"/>
            </w:tcBorders>
            <w:shd w:val="clear" w:color="auto" w:fill="0077B6"/>
            <w:tcMar>
              <w:top w:w="80" w:type="dxa"/>
              <w:left w:w="100" w:type="dxa"/>
              <w:bottom w:w="80" w:type="dxa"/>
              <w:right w:w="100" w:type="dxa"/>
            </w:tcMar>
          </w:tcPr>
          <w:p w14:paraId="581D4D89" w14:textId="77777777" w:rsidR="003C3F7B" w:rsidRDefault="00000000">
            <w:pPr>
              <w:jc w:val="center"/>
            </w:pPr>
            <w:r>
              <w:rPr>
                <w:rFonts w:ascii="Arial" w:eastAsia="Arial" w:hAnsi="Arial" w:cs="Arial"/>
                <w:b/>
                <w:bCs/>
                <w:color w:val="FFFFFF"/>
                <w:sz w:val="18"/>
                <w:szCs w:val="18"/>
              </w:rPr>
              <w:t>DM Statistic</w:t>
            </w:r>
          </w:p>
        </w:tc>
        <w:tc>
          <w:tcPr>
            <w:tcW w:w="1600" w:type="dxa"/>
            <w:tcBorders>
              <w:top w:val="single" w:sz="1" w:space="0" w:color="0077B6"/>
              <w:left w:val="single" w:sz="1" w:space="0" w:color="0077B6"/>
              <w:bottom w:val="single" w:sz="1" w:space="0" w:color="0077B6"/>
              <w:right w:val="single" w:sz="1" w:space="0" w:color="0077B6"/>
            </w:tcBorders>
            <w:shd w:val="clear" w:color="auto" w:fill="0077B6"/>
            <w:tcMar>
              <w:top w:w="80" w:type="dxa"/>
              <w:left w:w="100" w:type="dxa"/>
              <w:bottom w:w="80" w:type="dxa"/>
              <w:right w:w="100" w:type="dxa"/>
            </w:tcMar>
          </w:tcPr>
          <w:p w14:paraId="77345C07" w14:textId="77777777" w:rsidR="003C3F7B" w:rsidRDefault="00000000">
            <w:pPr>
              <w:jc w:val="center"/>
            </w:pPr>
            <w:r>
              <w:rPr>
                <w:rFonts w:ascii="Arial" w:eastAsia="Arial" w:hAnsi="Arial" w:cs="Arial"/>
                <w:b/>
                <w:bCs/>
                <w:color w:val="FFFFFF"/>
                <w:sz w:val="18"/>
                <w:szCs w:val="18"/>
              </w:rPr>
              <w:t>p-value</w:t>
            </w:r>
          </w:p>
        </w:tc>
        <w:tc>
          <w:tcPr>
            <w:tcW w:w="2426" w:type="dxa"/>
            <w:tcBorders>
              <w:top w:val="single" w:sz="1" w:space="0" w:color="0077B6"/>
              <w:left w:val="single" w:sz="1" w:space="0" w:color="0077B6"/>
              <w:bottom w:val="single" w:sz="1" w:space="0" w:color="0077B6"/>
              <w:right w:val="single" w:sz="1" w:space="0" w:color="0077B6"/>
            </w:tcBorders>
            <w:shd w:val="clear" w:color="auto" w:fill="0077B6"/>
            <w:tcMar>
              <w:top w:w="80" w:type="dxa"/>
              <w:left w:w="100" w:type="dxa"/>
              <w:bottom w:w="80" w:type="dxa"/>
              <w:right w:w="100" w:type="dxa"/>
            </w:tcMar>
          </w:tcPr>
          <w:p w14:paraId="2EBB81E3" w14:textId="77777777" w:rsidR="003C3F7B" w:rsidRDefault="00000000">
            <w:pPr>
              <w:jc w:val="center"/>
            </w:pPr>
            <w:r>
              <w:rPr>
                <w:rFonts w:ascii="Arial" w:eastAsia="Arial" w:hAnsi="Arial" w:cs="Arial"/>
                <w:b/>
                <w:bCs/>
                <w:color w:val="FFFFFF"/>
                <w:sz w:val="18"/>
                <w:szCs w:val="18"/>
              </w:rPr>
              <w:t>Conclusion</w:t>
            </w:r>
          </w:p>
        </w:tc>
      </w:tr>
      <w:tr w:rsidR="003C3F7B" w14:paraId="6DC1D8A5" w14:textId="77777777">
        <w:tblPrEx>
          <w:tblCellMar>
            <w:top w:w="0" w:type="dxa"/>
            <w:bottom w:w="0" w:type="dxa"/>
          </w:tblCellMar>
        </w:tblPrEx>
        <w:tc>
          <w:tcPr>
            <w:tcW w:w="32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E3DB45F" w14:textId="77777777" w:rsidR="003C3F7B" w:rsidRDefault="00000000">
            <w:r>
              <w:rPr>
                <w:color w:val="222222"/>
                <w:sz w:val="18"/>
                <w:szCs w:val="18"/>
              </w:rPr>
              <w:t>SLPD vs. Bottom-Up (dept)</w:t>
            </w:r>
          </w:p>
        </w:tc>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03D71F6" w14:textId="77777777" w:rsidR="003C3F7B" w:rsidRDefault="00000000">
            <w:pPr>
              <w:jc w:val="center"/>
            </w:pPr>
            <w:r>
              <w:rPr>
                <w:color w:val="222222"/>
                <w:sz w:val="18"/>
                <w:szCs w:val="18"/>
              </w:rPr>
              <w:t>−11.356</w:t>
            </w:r>
          </w:p>
        </w:tc>
        <w:tc>
          <w:tcPr>
            <w:tcW w:w="16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049AEDA" w14:textId="77777777" w:rsidR="003C3F7B" w:rsidRDefault="00000000">
            <w:pPr>
              <w:jc w:val="center"/>
            </w:pPr>
            <w:r>
              <w:rPr>
                <w:color w:val="222222"/>
                <w:sz w:val="18"/>
                <w:szCs w:val="18"/>
              </w:rPr>
              <w:t>&lt; 0.0001</w:t>
            </w:r>
          </w:p>
        </w:tc>
        <w:tc>
          <w:tcPr>
            <w:tcW w:w="24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5C5BBC8" w14:textId="77777777" w:rsidR="003C3F7B" w:rsidRDefault="00000000">
            <w:r>
              <w:rPr>
                <w:color w:val="222222"/>
                <w:sz w:val="18"/>
                <w:szCs w:val="18"/>
              </w:rPr>
              <w:t>SLPD significantly worse</w:t>
            </w:r>
          </w:p>
        </w:tc>
      </w:tr>
      <w:tr w:rsidR="003C3F7B" w14:paraId="6DE284DF" w14:textId="77777777">
        <w:tblPrEx>
          <w:tblCellMar>
            <w:top w:w="0" w:type="dxa"/>
            <w:bottom w:w="0" w:type="dxa"/>
          </w:tblCellMar>
        </w:tblPrEx>
        <w:tc>
          <w:tcPr>
            <w:tcW w:w="3200" w:type="dxa"/>
            <w:tcBorders>
              <w:top w:val="single" w:sz="1" w:space="0" w:color="DDDDDD"/>
              <w:left w:val="single" w:sz="1" w:space="0" w:color="DDDDDD"/>
              <w:bottom w:val="single" w:sz="1" w:space="0" w:color="DDDDDD"/>
              <w:right w:val="single" w:sz="1" w:space="0" w:color="DDDDDD"/>
            </w:tcBorders>
            <w:shd w:val="clear" w:color="auto" w:fill="E8F4FD"/>
            <w:tcMar>
              <w:top w:w="60" w:type="dxa"/>
              <w:left w:w="100" w:type="dxa"/>
              <w:bottom w:w="60" w:type="dxa"/>
              <w:right w:w="100" w:type="dxa"/>
            </w:tcMar>
          </w:tcPr>
          <w:p w14:paraId="40A12ED9" w14:textId="77777777" w:rsidR="003C3F7B" w:rsidRDefault="00000000">
            <w:r>
              <w:rPr>
                <w:b/>
                <w:bCs/>
                <w:color w:val="0077B6"/>
                <w:sz w:val="18"/>
                <w:szCs w:val="18"/>
              </w:rPr>
              <w:t>ERM vs. Bottom-Up (dept)</w:t>
            </w:r>
          </w:p>
        </w:tc>
        <w:tc>
          <w:tcPr>
            <w:tcW w:w="1800" w:type="dxa"/>
            <w:tcBorders>
              <w:top w:val="single" w:sz="1" w:space="0" w:color="DDDDDD"/>
              <w:left w:val="single" w:sz="1" w:space="0" w:color="DDDDDD"/>
              <w:bottom w:val="single" w:sz="1" w:space="0" w:color="DDDDDD"/>
              <w:right w:val="single" w:sz="1" w:space="0" w:color="DDDDDD"/>
            </w:tcBorders>
            <w:shd w:val="clear" w:color="auto" w:fill="E8F4FD"/>
            <w:tcMar>
              <w:top w:w="60" w:type="dxa"/>
              <w:left w:w="100" w:type="dxa"/>
              <w:bottom w:w="60" w:type="dxa"/>
              <w:right w:w="100" w:type="dxa"/>
            </w:tcMar>
          </w:tcPr>
          <w:p w14:paraId="028F0CE2" w14:textId="77777777" w:rsidR="003C3F7B" w:rsidRDefault="00000000">
            <w:pPr>
              <w:jc w:val="center"/>
            </w:pPr>
            <w:r>
              <w:rPr>
                <w:b/>
                <w:bCs/>
                <w:color w:val="0077B6"/>
                <w:sz w:val="18"/>
                <w:szCs w:val="18"/>
              </w:rPr>
              <w:t>−3.228</w:t>
            </w:r>
          </w:p>
        </w:tc>
        <w:tc>
          <w:tcPr>
            <w:tcW w:w="1600" w:type="dxa"/>
            <w:tcBorders>
              <w:top w:val="single" w:sz="1" w:space="0" w:color="DDDDDD"/>
              <w:left w:val="single" w:sz="1" w:space="0" w:color="DDDDDD"/>
              <w:bottom w:val="single" w:sz="1" w:space="0" w:color="DDDDDD"/>
              <w:right w:val="single" w:sz="1" w:space="0" w:color="DDDDDD"/>
            </w:tcBorders>
            <w:shd w:val="clear" w:color="auto" w:fill="E8F4FD"/>
            <w:tcMar>
              <w:top w:w="60" w:type="dxa"/>
              <w:left w:w="100" w:type="dxa"/>
              <w:bottom w:w="60" w:type="dxa"/>
              <w:right w:w="100" w:type="dxa"/>
            </w:tcMar>
          </w:tcPr>
          <w:p w14:paraId="44EDE99B" w14:textId="77777777" w:rsidR="003C3F7B" w:rsidRDefault="00000000">
            <w:pPr>
              <w:jc w:val="center"/>
            </w:pPr>
            <w:r>
              <w:rPr>
                <w:b/>
                <w:bCs/>
                <w:color w:val="0077B6"/>
                <w:sz w:val="18"/>
                <w:szCs w:val="18"/>
              </w:rPr>
              <w:t>0.0012 **</w:t>
            </w:r>
          </w:p>
        </w:tc>
        <w:tc>
          <w:tcPr>
            <w:tcW w:w="2426" w:type="dxa"/>
            <w:tcBorders>
              <w:top w:val="single" w:sz="1" w:space="0" w:color="DDDDDD"/>
              <w:left w:val="single" w:sz="1" w:space="0" w:color="DDDDDD"/>
              <w:bottom w:val="single" w:sz="1" w:space="0" w:color="DDDDDD"/>
              <w:right w:val="single" w:sz="1" w:space="0" w:color="DDDDDD"/>
            </w:tcBorders>
            <w:shd w:val="clear" w:color="auto" w:fill="E8F4FD"/>
            <w:tcMar>
              <w:top w:w="60" w:type="dxa"/>
              <w:left w:w="100" w:type="dxa"/>
              <w:bottom w:w="60" w:type="dxa"/>
              <w:right w:w="100" w:type="dxa"/>
            </w:tcMar>
          </w:tcPr>
          <w:p w14:paraId="7627BF4B" w14:textId="77777777" w:rsidR="003C3F7B" w:rsidRDefault="00000000">
            <w:r>
              <w:rPr>
                <w:b/>
                <w:bCs/>
                <w:color w:val="0077B6"/>
                <w:sz w:val="18"/>
                <w:szCs w:val="18"/>
              </w:rPr>
              <w:t>ERM significantly better</w:t>
            </w:r>
          </w:p>
        </w:tc>
      </w:tr>
    </w:tbl>
    <w:p w14:paraId="26105D1E" w14:textId="77777777" w:rsidR="003C3F7B" w:rsidRDefault="003C3F7B">
      <w:pPr>
        <w:spacing w:after="60"/>
      </w:pPr>
    </w:p>
    <w:p w14:paraId="5CD11659" w14:textId="77777777" w:rsidR="003C3F7B" w:rsidRDefault="00000000">
      <w:pPr>
        <w:spacing w:before="80" w:after="100" w:line="276" w:lineRule="auto"/>
        <w:jc w:val="both"/>
      </w:pPr>
      <w:r>
        <w:rPr>
          <w:i/>
          <w:iCs/>
          <w:color w:val="555555"/>
          <w:sz w:val="18"/>
          <w:szCs w:val="18"/>
        </w:rPr>
        <w:t>** Significant at p &lt; 0.01 (two-sided).</w:t>
      </w:r>
    </w:p>
    <w:p w14:paraId="5C5334FD" w14:textId="77777777" w:rsidR="003C3F7B" w:rsidRDefault="00000000">
      <w:pPr>
        <w:spacing w:before="180" w:after="80"/>
      </w:pPr>
      <w:r>
        <w:rPr>
          <w:rFonts w:ascii="Arial" w:eastAsia="Arial" w:hAnsi="Arial" w:cs="Arial"/>
          <w:b/>
          <w:bCs/>
          <w:color w:val="0077B6"/>
          <w:sz w:val="23"/>
          <w:szCs w:val="23"/>
        </w:rPr>
        <w:t>5.4. Forecast vs. Actual Analysis</w:t>
      </w:r>
    </w:p>
    <w:p w14:paraId="7F24B3E2" w14:textId="77777777" w:rsidR="003C3F7B" w:rsidRDefault="00000000">
      <w:pPr>
        <w:spacing w:before="80" w:after="100" w:line="276" w:lineRule="auto"/>
        <w:jc w:val="both"/>
      </w:pPr>
      <w:r>
        <w:rPr>
          <w:color w:val="222222"/>
        </w:rPr>
        <w:t>Figure 3 illustrates store-level weekly actual sales against Bottom-Up and SLPD forecasts for a representative store over the 12-week test period. The lower panel shows absolute forecast errors, revealing that SLPD forecasts diverge from actuals during weeks with unusual promotional activity.</w:t>
      </w:r>
    </w:p>
    <w:p w14:paraId="3E15ED79" w14:textId="77777777" w:rsidR="003C3F7B" w:rsidRDefault="00000000">
      <w:pPr>
        <w:spacing w:before="120" w:after="80"/>
        <w:jc w:val="center"/>
      </w:pPr>
      <w:r>
        <w:rPr>
          <w:noProof/>
        </w:rPr>
        <w:drawing>
          <wp:inline distT="0" distB="0" distL="0" distR="0" wp14:anchorId="19BF5DE4" wp14:editId="5D81BD7B">
            <wp:extent cx="5029200" cy="3190875"/>
            <wp:effectExtent l="0" t="0" r="0" b="0"/>
            <wp:docPr id="821228572" name="Picture 821228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029200" cy="3190875"/>
                    </a:xfrm>
                    <a:prstGeom prst="rect">
                      <a:avLst/>
                    </a:prstGeom>
                  </pic:spPr>
                </pic:pic>
              </a:graphicData>
            </a:graphic>
          </wp:inline>
        </w:drawing>
      </w:r>
    </w:p>
    <w:p w14:paraId="6A4404E9" w14:textId="77777777" w:rsidR="003C3F7B" w:rsidRDefault="00000000">
      <w:pPr>
        <w:spacing w:before="60" w:after="160"/>
        <w:jc w:val="center"/>
      </w:pPr>
      <w:r>
        <w:rPr>
          <w:b/>
          <w:bCs/>
          <w:color w:val="0077B6"/>
          <w:sz w:val="20"/>
          <w:szCs w:val="20"/>
        </w:rPr>
        <w:t xml:space="preserve">Figure </w:t>
      </w:r>
      <w:r>
        <w:rPr>
          <w:i/>
          <w:iCs/>
          <w:color w:val="555555"/>
          <w:sz w:val="20"/>
          <w:szCs w:val="20"/>
        </w:rPr>
        <w:t>3. Store-level weekly actual sales vs. Bottom-Up and SLPD forecasts for a representative store. Lower panel shows absolute forecast errors; green shading indicates weeks where SLPD outperforms Bottom-Up.</w:t>
      </w:r>
    </w:p>
    <w:p w14:paraId="4E7D4333" w14:textId="77777777" w:rsidR="003C3F7B" w:rsidRDefault="00000000">
      <w:pPr>
        <w:spacing w:before="180" w:after="80"/>
      </w:pPr>
      <w:r>
        <w:rPr>
          <w:rFonts w:ascii="Arial" w:eastAsia="Arial" w:hAnsi="Arial" w:cs="Arial"/>
          <w:b/>
          <w:bCs/>
          <w:color w:val="0077B6"/>
          <w:sz w:val="23"/>
          <w:szCs w:val="23"/>
        </w:rPr>
        <w:t>5.5. Error Distribution Analysis</w:t>
      </w:r>
    </w:p>
    <w:p w14:paraId="3687CC3A" w14:textId="77777777" w:rsidR="003C3F7B" w:rsidRDefault="00000000">
      <w:pPr>
        <w:spacing w:before="80" w:after="100" w:line="276" w:lineRule="auto"/>
        <w:jc w:val="both"/>
      </w:pPr>
      <w:r>
        <w:rPr>
          <w:color w:val="222222"/>
        </w:rPr>
        <w:t>Figure 4 presents a heatmap of mean absolute error per store–department pair under SLPD reconciliation. High-error cells correspond to departments with strong promotional seasonality or high between-week variance, suggesting that fixed historical proportions are most damaging for series with non-stationary share dynamics.</w:t>
      </w:r>
    </w:p>
    <w:p w14:paraId="12B2989A" w14:textId="77777777" w:rsidR="003C3F7B" w:rsidRDefault="00000000">
      <w:pPr>
        <w:spacing w:before="120" w:after="80"/>
        <w:jc w:val="center"/>
      </w:pPr>
      <w:r>
        <w:rPr>
          <w:noProof/>
        </w:rPr>
        <w:drawing>
          <wp:inline distT="0" distB="0" distL="0" distR="0" wp14:anchorId="554F06BA" wp14:editId="53C1EEC0">
            <wp:extent cx="5486400" cy="2047875"/>
            <wp:effectExtent l="0" t="0" r="0" b="0"/>
            <wp:docPr id="729737415" name="Picture 72973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5486400" cy="2047875"/>
                    </a:xfrm>
                    <a:prstGeom prst="rect">
                      <a:avLst/>
                    </a:prstGeom>
                  </pic:spPr>
                </pic:pic>
              </a:graphicData>
            </a:graphic>
          </wp:inline>
        </w:drawing>
      </w:r>
    </w:p>
    <w:p w14:paraId="68950304" w14:textId="77777777" w:rsidR="003C3F7B" w:rsidRDefault="00000000">
      <w:pPr>
        <w:spacing w:before="60" w:after="160"/>
        <w:jc w:val="center"/>
      </w:pPr>
      <w:r>
        <w:rPr>
          <w:b/>
          <w:bCs/>
          <w:color w:val="0077B6"/>
          <w:sz w:val="20"/>
          <w:szCs w:val="20"/>
        </w:rPr>
        <w:t xml:space="preserve">Figure </w:t>
      </w:r>
      <w:r>
        <w:rPr>
          <w:i/>
          <w:iCs/>
          <w:color w:val="555555"/>
          <w:sz w:val="20"/>
          <w:szCs w:val="20"/>
        </w:rPr>
        <w:t>4. Mean absolute forecast error heatmap by store and department under Store-Level Proportional Disaggregation (SLPD) reconciliation. Darker cells indicate higher errors. Subset shows 10 stores × 15 departments for readability.</w:t>
      </w:r>
    </w:p>
    <w:p w14:paraId="37A19DB3" w14:textId="77777777" w:rsidR="003C3F7B" w:rsidRDefault="00000000">
      <w:pPr>
        <w:pBdr>
          <w:bottom w:val="single" w:sz="4" w:space="4" w:color="0077B6"/>
        </w:pBdr>
        <w:spacing w:before="240" w:after="120"/>
      </w:pPr>
      <w:r>
        <w:rPr>
          <w:rFonts w:ascii="Arial" w:eastAsia="Arial" w:hAnsi="Arial" w:cs="Arial"/>
          <w:b/>
          <w:bCs/>
          <w:color w:val="0077B6"/>
          <w:sz w:val="26"/>
          <w:szCs w:val="26"/>
        </w:rPr>
        <w:t>6. Inventory Cost Simulation</w:t>
      </w:r>
    </w:p>
    <w:p w14:paraId="4E2BAF6C" w14:textId="77777777" w:rsidR="003C3F7B" w:rsidRDefault="00000000">
      <w:pPr>
        <w:spacing w:before="180" w:after="80"/>
      </w:pPr>
      <w:r>
        <w:rPr>
          <w:rFonts w:ascii="Arial" w:eastAsia="Arial" w:hAnsi="Arial" w:cs="Arial"/>
          <w:b/>
          <w:bCs/>
          <w:color w:val="0077B6"/>
          <w:sz w:val="23"/>
          <w:szCs w:val="23"/>
        </w:rPr>
        <w:t>6.1. Safety Stock Model</w:t>
      </w:r>
    </w:p>
    <w:p w14:paraId="7CF5A270" w14:textId="77777777" w:rsidR="003C3F7B" w:rsidRDefault="00000000">
      <w:pPr>
        <w:spacing w:before="80" w:after="100" w:line="276" w:lineRule="auto"/>
        <w:jc w:val="both"/>
      </w:pPr>
      <w:r>
        <w:rPr>
          <w:color w:val="222222"/>
        </w:rPr>
        <w:t>To illustrate the practical downstream impact of reconciliation method choice, a safety stock simulation is conducted following standard inventory theory [36]. Safety stock is computed per store–department pair as SS_{</w:t>
      </w:r>
      <w:proofErr w:type="spellStart"/>
      <w:proofErr w:type="gramStart"/>
      <w:r>
        <w:rPr>
          <w:color w:val="222222"/>
        </w:rPr>
        <w:t>s,d</w:t>
      </w:r>
      <w:proofErr w:type="spellEnd"/>
      <w:proofErr w:type="gramEnd"/>
      <w:r>
        <w:rPr>
          <w:color w:val="222222"/>
        </w:rPr>
        <w:t>} = Z × σ_{</w:t>
      </w:r>
      <w:proofErr w:type="spellStart"/>
      <w:proofErr w:type="gramStart"/>
      <w:r>
        <w:rPr>
          <w:color w:val="222222"/>
        </w:rPr>
        <w:t>demand,s</w:t>
      </w:r>
      <w:proofErr w:type="gramEnd"/>
      <w:r>
        <w:rPr>
          <w:color w:val="222222"/>
        </w:rPr>
        <w:t>,d</w:t>
      </w:r>
      <w:proofErr w:type="spellEnd"/>
      <w:r>
        <w:rPr>
          <w:color w:val="222222"/>
        </w:rPr>
        <w:t>} × √(</w:t>
      </w:r>
      <w:proofErr w:type="spellStart"/>
      <w:r>
        <w:rPr>
          <w:color w:val="222222"/>
        </w:rPr>
        <w:t>lead_time</w:t>
      </w:r>
      <w:proofErr w:type="spellEnd"/>
      <w:r>
        <w:rPr>
          <w:color w:val="222222"/>
        </w:rPr>
        <w:t xml:space="preserve">), where Z = 1.645 corresponds to a 95% service level, </w:t>
      </w:r>
      <w:proofErr w:type="spellStart"/>
      <w:r>
        <w:rPr>
          <w:color w:val="222222"/>
        </w:rPr>
        <w:t>lead_time</w:t>
      </w:r>
      <w:proofErr w:type="spellEnd"/>
      <w:r>
        <w:rPr>
          <w:color w:val="222222"/>
        </w:rPr>
        <w:t xml:space="preserve"> = 2 weeks, and σ_{demand} is estimated from test-period actual sales standard deviation per store–department pair.</w:t>
      </w:r>
    </w:p>
    <w:p w14:paraId="7665AB94" w14:textId="77777777" w:rsidR="003C3F7B" w:rsidRDefault="00000000">
      <w:pPr>
        <w:spacing w:before="180" w:after="80"/>
      </w:pPr>
      <w:r>
        <w:rPr>
          <w:rFonts w:ascii="Arial" w:eastAsia="Arial" w:hAnsi="Arial" w:cs="Arial"/>
          <w:b/>
          <w:bCs/>
          <w:color w:val="0077B6"/>
          <w:sz w:val="23"/>
          <w:szCs w:val="23"/>
        </w:rPr>
        <w:t>6.2. Cost Model</w:t>
      </w:r>
    </w:p>
    <w:p w14:paraId="35744793" w14:textId="77777777" w:rsidR="003C3F7B" w:rsidRDefault="00000000">
      <w:pPr>
        <w:spacing w:before="80" w:after="100" w:line="276" w:lineRule="auto"/>
        <w:jc w:val="both"/>
      </w:pPr>
      <w:r>
        <w:rPr>
          <w:color w:val="222222"/>
        </w:rPr>
        <w:t>Total inventory cost per store–department is modelled as Total Cost = (SS × h) + (</w:t>
      </w:r>
      <w:proofErr w:type="spellStart"/>
      <w:r>
        <w:rPr>
          <w:color w:val="222222"/>
        </w:rPr>
        <w:t>mean_shortfall</w:t>
      </w:r>
      <w:proofErr w:type="spellEnd"/>
      <w:r>
        <w:rPr>
          <w:color w:val="222222"/>
        </w:rPr>
        <w:t xml:space="preserve"> × </w:t>
      </w:r>
      <w:proofErr w:type="spellStart"/>
      <w:r>
        <w:rPr>
          <w:color w:val="222222"/>
        </w:rPr>
        <w:t>c_s</w:t>
      </w:r>
      <w:proofErr w:type="spellEnd"/>
      <w:r>
        <w:rPr>
          <w:color w:val="222222"/>
        </w:rPr>
        <w:t xml:space="preserve">), where h = $0.25/unit/week is the holding cost and </w:t>
      </w:r>
      <w:proofErr w:type="spellStart"/>
      <w:r>
        <w:rPr>
          <w:color w:val="222222"/>
        </w:rPr>
        <w:t>c_s</w:t>
      </w:r>
      <w:proofErr w:type="spellEnd"/>
      <w:r>
        <w:rPr>
          <w:color w:val="222222"/>
        </w:rPr>
        <w:t xml:space="preserve"> = $1.50/unit is the stockout penalty cost. Shortfall is defined as </w:t>
      </w:r>
      <w:proofErr w:type="gramStart"/>
      <w:r>
        <w:rPr>
          <w:color w:val="222222"/>
        </w:rPr>
        <w:t>max(</w:t>
      </w:r>
      <w:proofErr w:type="gramEnd"/>
      <w:r>
        <w:rPr>
          <w:color w:val="222222"/>
        </w:rPr>
        <w:t xml:space="preserve">0, actual − forecast). These parameters are illustrative textbook defaults from Silver, Pyke and Thomas [36] and do not represent Walmart's proprietary cost structure. Results are dependent on the chosen parameter values and should be interpreted as a </w:t>
      </w:r>
      <w:proofErr w:type="spellStart"/>
      <w:r>
        <w:rPr>
          <w:color w:val="222222"/>
        </w:rPr>
        <w:t>stylised</w:t>
      </w:r>
      <w:proofErr w:type="spellEnd"/>
      <w:r>
        <w:rPr>
          <w:color w:val="222222"/>
        </w:rPr>
        <w:t xml:space="preserve"> illustration, not a definitive conclusion.</w:t>
      </w:r>
    </w:p>
    <w:p w14:paraId="48EAA127" w14:textId="77777777" w:rsidR="003C3F7B" w:rsidRDefault="00000000">
      <w:pPr>
        <w:spacing w:before="180" w:after="80"/>
      </w:pPr>
      <w:r>
        <w:rPr>
          <w:rFonts w:ascii="Arial" w:eastAsia="Arial" w:hAnsi="Arial" w:cs="Arial"/>
          <w:b/>
          <w:bCs/>
          <w:color w:val="0077B6"/>
          <w:sz w:val="23"/>
          <w:szCs w:val="23"/>
        </w:rPr>
        <w:t>6.3. Results</w:t>
      </w:r>
    </w:p>
    <w:p w14:paraId="6C352B55" w14:textId="77777777" w:rsidR="003C3F7B" w:rsidRDefault="00000000">
      <w:pPr>
        <w:spacing w:before="80" w:after="120" w:line="276" w:lineRule="auto"/>
        <w:jc w:val="both"/>
      </w:pPr>
      <w:r>
        <w:rPr>
          <w:color w:val="222222"/>
        </w:rPr>
        <w:t xml:space="preserve">Table 4 </w:t>
      </w:r>
      <w:proofErr w:type="spellStart"/>
      <w:r>
        <w:rPr>
          <w:color w:val="222222"/>
        </w:rPr>
        <w:t>summarises</w:t>
      </w:r>
      <w:proofErr w:type="spellEnd"/>
      <w:r>
        <w:rPr>
          <w:color w:val="222222"/>
        </w:rPr>
        <w:t xml:space="preserve"> aggregated inventory cost simulation results. Under the chosen parameters, Bottom-Up produces a lower total simulated cost ($6.32M vs. $8.09M for SLPD), driven by SLPD's greater department-level forecast error inflating shortfall penalties. Holding costs are identical across methods because safety stock depends on demand variance, not forecast accuracy.</w:t>
      </w:r>
    </w:p>
    <w:p w14:paraId="4ECC57BC" w14:textId="77777777" w:rsidR="003C3F7B" w:rsidRDefault="00000000">
      <w:pPr>
        <w:spacing w:before="160" w:after="60"/>
      </w:pPr>
      <w:r>
        <w:rPr>
          <w:b/>
          <w:bCs/>
          <w:color w:val="0077B6"/>
          <w:sz w:val="20"/>
          <w:szCs w:val="20"/>
        </w:rPr>
        <w:t xml:space="preserve">Table </w:t>
      </w:r>
      <w:r>
        <w:rPr>
          <w:i/>
          <w:iCs/>
          <w:color w:val="555555"/>
          <w:sz w:val="20"/>
          <w:szCs w:val="20"/>
        </w:rPr>
        <w:t>4. Aggregated inventory cost simulation results—illustrative parameters only (Z = 1.645, lead = 2 weeks, hold = $0.25/unit, stockout = $1.50/unit). Results are parameter-dependent; see Section 6.3.</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2100"/>
        <w:gridCol w:w="2000"/>
        <w:gridCol w:w="2126"/>
      </w:tblGrid>
      <w:tr w:rsidR="003C3F7B" w14:paraId="6EE84F3D" w14:textId="77777777">
        <w:tblPrEx>
          <w:tblCellMar>
            <w:top w:w="0" w:type="dxa"/>
            <w:bottom w:w="0" w:type="dxa"/>
          </w:tblCellMar>
        </w:tblPrEx>
        <w:tc>
          <w:tcPr>
            <w:tcW w:w="2800" w:type="dxa"/>
            <w:tcBorders>
              <w:top w:val="single" w:sz="1" w:space="0" w:color="0077B6"/>
              <w:left w:val="single" w:sz="1" w:space="0" w:color="0077B6"/>
              <w:bottom w:val="single" w:sz="1" w:space="0" w:color="0077B6"/>
              <w:right w:val="single" w:sz="1" w:space="0" w:color="0077B6"/>
            </w:tcBorders>
            <w:shd w:val="clear" w:color="auto" w:fill="0077B6"/>
            <w:tcMar>
              <w:top w:w="80" w:type="dxa"/>
              <w:left w:w="100" w:type="dxa"/>
              <w:bottom w:w="80" w:type="dxa"/>
              <w:right w:w="100" w:type="dxa"/>
            </w:tcMar>
          </w:tcPr>
          <w:p w14:paraId="104EAAE1" w14:textId="77777777" w:rsidR="003C3F7B" w:rsidRDefault="00000000">
            <w:pPr>
              <w:jc w:val="center"/>
            </w:pPr>
            <w:r>
              <w:rPr>
                <w:rFonts w:ascii="Arial" w:eastAsia="Arial" w:hAnsi="Arial" w:cs="Arial"/>
                <w:b/>
                <w:bCs/>
                <w:color w:val="FFFFFF"/>
                <w:sz w:val="18"/>
                <w:szCs w:val="18"/>
              </w:rPr>
              <w:t>Method</w:t>
            </w:r>
          </w:p>
        </w:tc>
        <w:tc>
          <w:tcPr>
            <w:tcW w:w="2100" w:type="dxa"/>
            <w:tcBorders>
              <w:top w:val="single" w:sz="1" w:space="0" w:color="0077B6"/>
              <w:left w:val="single" w:sz="1" w:space="0" w:color="0077B6"/>
              <w:bottom w:val="single" w:sz="1" w:space="0" w:color="0077B6"/>
              <w:right w:val="single" w:sz="1" w:space="0" w:color="0077B6"/>
            </w:tcBorders>
            <w:shd w:val="clear" w:color="auto" w:fill="0077B6"/>
            <w:tcMar>
              <w:top w:w="80" w:type="dxa"/>
              <w:left w:w="100" w:type="dxa"/>
              <w:bottom w:w="80" w:type="dxa"/>
              <w:right w:w="100" w:type="dxa"/>
            </w:tcMar>
          </w:tcPr>
          <w:p w14:paraId="34FE3C93" w14:textId="77777777" w:rsidR="003C3F7B" w:rsidRDefault="00000000">
            <w:pPr>
              <w:jc w:val="center"/>
            </w:pPr>
            <w:r>
              <w:rPr>
                <w:rFonts w:ascii="Arial" w:eastAsia="Arial" w:hAnsi="Arial" w:cs="Arial"/>
                <w:b/>
                <w:bCs/>
                <w:color w:val="FFFFFF"/>
                <w:sz w:val="18"/>
                <w:szCs w:val="18"/>
              </w:rPr>
              <w:t>Holding Cost ($)</w:t>
            </w:r>
          </w:p>
        </w:tc>
        <w:tc>
          <w:tcPr>
            <w:tcW w:w="2000" w:type="dxa"/>
            <w:tcBorders>
              <w:top w:val="single" w:sz="1" w:space="0" w:color="0077B6"/>
              <w:left w:val="single" w:sz="1" w:space="0" w:color="0077B6"/>
              <w:bottom w:val="single" w:sz="1" w:space="0" w:color="0077B6"/>
              <w:right w:val="single" w:sz="1" w:space="0" w:color="0077B6"/>
            </w:tcBorders>
            <w:shd w:val="clear" w:color="auto" w:fill="0077B6"/>
            <w:tcMar>
              <w:top w:w="80" w:type="dxa"/>
              <w:left w:w="100" w:type="dxa"/>
              <w:bottom w:w="80" w:type="dxa"/>
              <w:right w:w="100" w:type="dxa"/>
            </w:tcMar>
          </w:tcPr>
          <w:p w14:paraId="1866AE25" w14:textId="77777777" w:rsidR="003C3F7B" w:rsidRDefault="00000000">
            <w:pPr>
              <w:jc w:val="center"/>
            </w:pPr>
            <w:r>
              <w:rPr>
                <w:rFonts w:ascii="Arial" w:eastAsia="Arial" w:hAnsi="Arial" w:cs="Arial"/>
                <w:b/>
                <w:bCs/>
                <w:color w:val="FFFFFF"/>
                <w:sz w:val="18"/>
                <w:szCs w:val="18"/>
              </w:rPr>
              <w:t>Stockout Cost ($)</w:t>
            </w:r>
          </w:p>
        </w:tc>
        <w:tc>
          <w:tcPr>
            <w:tcW w:w="2126" w:type="dxa"/>
            <w:tcBorders>
              <w:top w:val="single" w:sz="1" w:space="0" w:color="0077B6"/>
              <w:left w:val="single" w:sz="1" w:space="0" w:color="0077B6"/>
              <w:bottom w:val="single" w:sz="1" w:space="0" w:color="0077B6"/>
              <w:right w:val="single" w:sz="1" w:space="0" w:color="0077B6"/>
            </w:tcBorders>
            <w:shd w:val="clear" w:color="auto" w:fill="0077B6"/>
            <w:tcMar>
              <w:top w:w="80" w:type="dxa"/>
              <w:left w:w="100" w:type="dxa"/>
              <w:bottom w:w="80" w:type="dxa"/>
              <w:right w:w="100" w:type="dxa"/>
            </w:tcMar>
          </w:tcPr>
          <w:p w14:paraId="363373A5" w14:textId="77777777" w:rsidR="003C3F7B" w:rsidRDefault="00000000">
            <w:pPr>
              <w:jc w:val="center"/>
            </w:pPr>
            <w:r>
              <w:rPr>
                <w:rFonts w:ascii="Arial" w:eastAsia="Arial" w:hAnsi="Arial" w:cs="Arial"/>
                <w:b/>
                <w:bCs/>
                <w:color w:val="FFFFFF"/>
                <w:sz w:val="18"/>
                <w:szCs w:val="18"/>
              </w:rPr>
              <w:t>Total Cost ($)</w:t>
            </w:r>
          </w:p>
        </w:tc>
      </w:tr>
      <w:tr w:rsidR="003C3F7B" w14:paraId="1B8EA092"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E8F4FD"/>
            <w:tcMar>
              <w:top w:w="60" w:type="dxa"/>
              <w:left w:w="100" w:type="dxa"/>
              <w:bottom w:w="60" w:type="dxa"/>
              <w:right w:w="100" w:type="dxa"/>
            </w:tcMar>
          </w:tcPr>
          <w:p w14:paraId="6134D03E" w14:textId="77777777" w:rsidR="003C3F7B" w:rsidRDefault="00000000">
            <w:r>
              <w:rPr>
                <w:b/>
                <w:bCs/>
                <w:color w:val="0077B6"/>
                <w:sz w:val="18"/>
                <w:szCs w:val="18"/>
              </w:rPr>
              <w:t>Bottom-Up</w:t>
            </w:r>
          </w:p>
        </w:tc>
        <w:tc>
          <w:tcPr>
            <w:tcW w:w="2100" w:type="dxa"/>
            <w:tcBorders>
              <w:top w:val="single" w:sz="1" w:space="0" w:color="DDDDDD"/>
              <w:left w:val="single" w:sz="1" w:space="0" w:color="DDDDDD"/>
              <w:bottom w:val="single" w:sz="1" w:space="0" w:color="DDDDDD"/>
              <w:right w:val="single" w:sz="1" w:space="0" w:color="DDDDDD"/>
            </w:tcBorders>
            <w:shd w:val="clear" w:color="auto" w:fill="E8F4FD"/>
            <w:tcMar>
              <w:top w:w="60" w:type="dxa"/>
              <w:left w:w="100" w:type="dxa"/>
              <w:bottom w:w="60" w:type="dxa"/>
              <w:right w:w="100" w:type="dxa"/>
            </w:tcMar>
          </w:tcPr>
          <w:p w14:paraId="4225C8BE" w14:textId="77777777" w:rsidR="003C3F7B" w:rsidRDefault="00000000">
            <w:pPr>
              <w:jc w:val="center"/>
            </w:pPr>
            <w:r>
              <w:rPr>
                <w:b/>
                <w:bCs/>
                <w:color w:val="0077B6"/>
                <w:sz w:val="18"/>
                <w:szCs w:val="18"/>
              </w:rPr>
              <w:t>3,379,535</w:t>
            </w:r>
          </w:p>
        </w:tc>
        <w:tc>
          <w:tcPr>
            <w:tcW w:w="2000" w:type="dxa"/>
            <w:tcBorders>
              <w:top w:val="single" w:sz="1" w:space="0" w:color="DDDDDD"/>
              <w:left w:val="single" w:sz="1" w:space="0" w:color="DDDDDD"/>
              <w:bottom w:val="single" w:sz="1" w:space="0" w:color="DDDDDD"/>
              <w:right w:val="single" w:sz="1" w:space="0" w:color="DDDDDD"/>
            </w:tcBorders>
            <w:shd w:val="clear" w:color="auto" w:fill="E8F4FD"/>
            <w:tcMar>
              <w:top w:w="60" w:type="dxa"/>
              <w:left w:w="100" w:type="dxa"/>
              <w:bottom w:w="60" w:type="dxa"/>
              <w:right w:w="100" w:type="dxa"/>
            </w:tcMar>
          </w:tcPr>
          <w:p w14:paraId="3E930248" w14:textId="77777777" w:rsidR="003C3F7B" w:rsidRDefault="00000000">
            <w:pPr>
              <w:jc w:val="center"/>
            </w:pPr>
            <w:r>
              <w:rPr>
                <w:b/>
                <w:bCs/>
                <w:color w:val="0077B6"/>
                <w:sz w:val="18"/>
                <w:szCs w:val="18"/>
              </w:rPr>
              <w:t>2,938,048</w:t>
            </w:r>
          </w:p>
        </w:tc>
        <w:tc>
          <w:tcPr>
            <w:tcW w:w="2126" w:type="dxa"/>
            <w:tcBorders>
              <w:top w:val="single" w:sz="1" w:space="0" w:color="DDDDDD"/>
              <w:left w:val="single" w:sz="1" w:space="0" w:color="DDDDDD"/>
              <w:bottom w:val="single" w:sz="1" w:space="0" w:color="DDDDDD"/>
              <w:right w:val="single" w:sz="1" w:space="0" w:color="DDDDDD"/>
            </w:tcBorders>
            <w:shd w:val="clear" w:color="auto" w:fill="E8F4FD"/>
            <w:tcMar>
              <w:top w:w="60" w:type="dxa"/>
              <w:left w:w="100" w:type="dxa"/>
              <w:bottom w:w="60" w:type="dxa"/>
              <w:right w:w="100" w:type="dxa"/>
            </w:tcMar>
          </w:tcPr>
          <w:p w14:paraId="28CB5528" w14:textId="77777777" w:rsidR="003C3F7B" w:rsidRDefault="00000000">
            <w:pPr>
              <w:jc w:val="center"/>
            </w:pPr>
            <w:r>
              <w:rPr>
                <w:b/>
                <w:bCs/>
                <w:color w:val="0077B6"/>
                <w:sz w:val="18"/>
                <w:szCs w:val="18"/>
              </w:rPr>
              <w:t>6,317,555</w:t>
            </w:r>
          </w:p>
        </w:tc>
      </w:tr>
      <w:tr w:rsidR="003C3F7B" w14:paraId="31FBB3CB" w14:textId="77777777">
        <w:tblPrEx>
          <w:tblCellMar>
            <w:top w:w="0" w:type="dxa"/>
            <w:bottom w:w="0" w:type="dxa"/>
          </w:tblCellMar>
        </w:tblPrEx>
        <w:tc>
          <w:tcPr>
            <w:tcW w:w="28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49B2CDFD" w14:textId="77777777" w:rsidR="003C3F7B" w:rsidRDefault="00000000">
            <w:r>
              <w:rPr>
                <w:color w:val="222222"/>
                <w:sz w:val="18"/>
                <w:szCs w:val="18"/>
              </w:rPr>
              <w:t>SLPD</w:t>
            </w:r>
          </w:p>
        </w:tc>
        <w:tc>
          <w:tcPr>
            <w:tcW w:w="21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6B9551A7" w14:textId="77777777" w:rsidR="003C3F7B" w:rsidRDefault="00000000">
            <w:pPr>
              <w:jc w:val="center"/>
            </w:pPr>
            <w:r>
              <w:rPr>
                <w:color w:val="222222"/>
                <w:sz w:val="18"/>
                <w:szCs w:val="18"/>
              </w:rPr>
              <w:t>3,379,535</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5A6A5F57" w14:textId="77777777" w:rsidR="003C3F7B" w:rsidRDefault="00000000">
            <w:pPr>
              <w:jc w:val="center"/>
            </w:pPr>
            <w:r>
              <w:rPr>
                <w:color w:val="222222"/>
                <w:sz w:val="18"/>
                <w:szCs w:val="18"/>
              </w:rPr>
              <w:t>4,706,986</w:t>
            </w:r>
          </w:p>
        </w:tc>
        <w:tc>
          <w:tcPr>
            <w:tcW w:w="2126" w:type="dxa"/>
            <w:tcBorders>
              <w:top w:val="single" w:sz="1" w:space="0" w:color="DDDDDD"/>
              <w:left w:val="single" w:sz="1" w:space="0" w:color="DDDDDD"/>
              <w:bottom w:val="single" w:sz="1" w:space="0" w:color="DDDDDD"/>
              <w:right w:val="single" w:sz="1" w:space="0" w:color="DDDDDD"/>
            </w:tcBorders>
            <w:shd w:val="clear" w:color="auto" w:fill="FFFFFF"/>
            <w:tcMar>
              <w:top w:w="60" w:type="dxa"/>
              <w:left w:w="100" w:type="dxa"/>
              <w:bottom w:w="60" w:type="dxa"/>
              <w:right w:w="100" w:type="dxa"/>
            </w:tcMar>
          </w:tcPr>
          <w:p w14:paraId="3DD86732" w14:textId="77777777" w:rsidR="003C3F7B" w:rsidRDefault="00000000">
            <w:pPr>
              <w:jc w:val="center"/>
            </w:pPr>
            <w:r>
              <w:rPr>
                <w:color w:val="222222"/>
                <w:sz w:val="18"/>
                <w:szCs w:val="18"/>
              </w:rPr>
              <w:t>8,086,040</w:t>
            </w:r>
          </w:p>
        </w:tc>
      </w:tr>
    </w:tbl>
    <w:p w14:paraId="202D494A" w14:textId="77777777" w:rsidR="003C3F7B" w:rsidRDefault="003C3F7B">
      <w:pPr>
        <w:spacing w:after="120"/>
      </w:pPr>
    </w:p>
    <w:p w14:paraId="04616DDC" w14:textId="77777777" w:rsidR="003C3F7B" w:rsidRDefault="00000000">
      <w:pPr>
        <w:spacing w:before="120" w:after="80"/>
        <w:jc w:val="center"/>
      </w:pPr>
      <w:r>
        <w:rPr>
          <w:noProof/>
        </w:rPr>
        <w:drawing>
          <wp:inline distT="0" distB="0" distL="0" distR="0" wp14:anchorId="51F12C24" wp14:editId="2C374C9A">
            <wp:extent cx="5486400" cy="2286000"/>
            <wp:effectExtent l="0" t="0" r="0" b="0"/>
            <wp:docPr id="1473804566" name="Picture 1473804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5486400" cy="2286000"/>
                    </a:xfrm>
                    <a:prstGeom prst="rect">
                      <a:avLst/>
                    </a:prstGeom>
                  </pic:spPr>
                </pic:pic>
              </a:graphicData>
            </a:graphic>
          </wp:inline>
        </w:drawing>
      </w:r>
    </w:p>
    <w:p w14:paraId="28C03976" w14:textId="77777777" w:rsidR="003C3F7B" w:rsidRDefault="00000000">
      <w:pPr>
        <w:spacing w:before="60" w:after="160"/>
        <w:jc w:val="center"/>
      </w:pPr>
      <w:r>
        <w:rPr>
          <w:b/>
          <w:bCs/>
          <w:color w:val="0077B6"/>
          <w:sz w:val="20"/>
          <w:szCs w:val="20"/>
        </w:rPr>
        <w:t xml:space="preserve">Figure </w:t>
      </w:r>
      <w:r>
        <w:rPr>
          <w:i/>
          <w:iCs/>
          <w:color w:val="555555"/>
          <w:sz w:val="20"/>
          <w:szCs w:val="20"/>
        </w:rPr>
        <w:t>5. Inventory cost breakdown by method under illustrative simulation parameters. Left panel: holding, stockout, and total costs. Right panel: total cost comparison (Bottom-Up vs. SLPD).</w:t>
      </w:r>
    </w:p>
    <w:p w14:paraId="7169219B" w14:textId="77777777" w:rsidR="003C3F7B" w:rsidRDefault="00000000">
      <w:pPr>
        <w:spacing w:before="80" w:after="160" w:line="276" w:lineRule="auto"/>
        <w:jc w:val="both"/>
      </w:pPr>
      <w:r>
        <w:rPr>
          <w:color w:val="222222"/>
        </w:rPr>
        <w:t>These results are sensitive to the chosen cost parameters—in particular, increasing the holding-to-stockout cost ratio could reverse the ranking. A full sensitivity analysis varying the stockout penalty and lead time is a direction for future research. The simulation should be interpreted as an illustration of the potential downstream impact of reconciliation method choice, not as a definitive cost comparison.</w:t>
      </w:r>
    </w:p>
    <w:p w14:paraId="693B2AEC" w14:textId="77777777" w:rsidR="003C3F7B" w:rsidRDefault="00000000">
      <w:pPr>
        <w:pBdr>
          <w:bottom w:val="single" w:sz="4" w:space="4" w:color="0077B6"/>
        </w:pBdr>
        <w:spacing w:before="240" w:after="120"/>
      </w:pPr>
      <w:r>
        <w:rPr>
          <w:rFonts w:ascii="Arial" w:eastAsia="Arial" w:hAnsi="Arial" w:cs="Arial"/>
          <w:b/>
          <w:bCs/>
          <w:color w:val="0077B6"/>
          <w:sz w:val="26"/>
          <w:szCs w:val="26"/>
        </w:rPr>
        <w:t>7. Discussion</w:t>
      </w:r>
    </w:p>
    <w:p w14:paraId="1DEA8411" w14:textId="77777777" w:rsidR="003C3F7B" w:rsidRDefault="00000000">
      <w:pPr>
        <w:spacing w:before="180" w:after="80"/>
      </w:pPr>
      <w:r>
        <w:rPr>
          <w:rFonts w:ascii="Arial" w:eastAsia="Arial" w:hAnsi="Arial" w:cs="Arial"/>
          <w:b/>
          <w:bCs/>
          <w:color w:val="0077B6"/>
          <w:sz w:val="23"/>
          <w:szCs w:val="23"/>
        </w:rPr>
        <w:t>7.1. Key Findings</w:t>
      </w:r>
    </w:p>
    <w:p w14:paraId="48D93BF8" w14:textId="77777777" w:rsidR="003C3F7B" w:rsidRDefault="00000000">
      <w:pPr>
        <w:spacing w:before="80" w:after="100" w:line="276" w:lineRule="auto"/>
        <w:jc w:val="both"/>
      </w:pPr>
      <w:r>
        <w:rPr>
          <w:color w:val="222222"/>
        </w:rPr>
        <w:t xml:space="preserve">The central finding of this study is that ERM reconciliation—Ridge regression weights fitted per store–department on training residuals—achieves the best performance among all reconciled methods at every level of the Walmart hierarchy, and is statistically significantly better than Bottom-Up at department level (p = 0.0012), all without any test-period data leakage. This aligns with </w:t>
      </w:r>
      <w:proofErr w:type="spellStart"/>
      <w:r>
        <w:rPr>
          <w:color w:val="222222"/>
        </w:rPr>
        <w:t>Taieb</w:t>
      </w:r>
      <w:proofErr w:type="spellEnd"/>
      <w:r>
        <w:rPr>
          <w:color w:val="222222"/>
        </w:rPr>
        <w:t xml:space="preserve"> and Hyndman [11] who showed that empirical risk </w:t>
      </w:r>
      <w:proofErr w:type="spellStart"/>
      <w:r>
        <w:rPr>
          <w:color w:val="222222"/>
        </w:rPr>
        <w:t>minimisation</w:t>
      </w:r>
      <w:proofErr w:type="spellEnd"/>
      <w:r>
        <w:rPr>
          <w:color w:val="222222"/>
        </w:rPr>
        <w:t xml:space="preserve"> over the hierarchical structure consistently outperforms structural methods when series heterogeneity is high.</w:t>
      </w:r>
    </w:p>
    <w:p w14:paraId="50DE70FC" w14:textId="77777777" w:rsidR="003C3F7B" w:rsidRDefault="00000000">
      <w:pPr>
        <w:spacing w:before="80" w:after="100" w:line="276" w:lineRule="auto"/>
        <w:jc w:val="both"/>
      </w:pPr>
      <w:r>
        <w:rPr>
          <w:color w:val="222222"/>
        </w:rPr>
        <w:t>A counter-intuitive finding is that both Top-Down and SLPD degrade department-level accuracy relative to the unreconciled base model. The mechanism is clear: historical proportion weights computed over 138 training weeks are too coarse to capture the idiosyncratic share dynamics of 3,331 series. When a department's promotional activity or seasonal pattern shifts between training and test periods, fixed proportions systematically misallocate the store-level forecast. This finding is consistent with Athanasopoulos et al. [18], who showed that TD methods are sensitive to non-stationarity in series proportions.</w:t>
      </w:r>
    </w:p>
    <w:p w14:paraId="00A14FDD" w14:textId="77777777" w:rsidR="003C3F7B" w:rsidRDefault="00000000">
      <w:pPr>
        <w:spacing w:before="180" w:after="80"/>
      </w:pPr>
      <w:r>
        <w:rPr>
          <w:rFonts w:ascii="Arial" w:eastAsia="Arial" w:hAnsi="Arial" w:cs="Arial"/>
          <w:b/>
          <w:bCs/>
          <w:color w:val="0077B6"/>
          <w:sz w:val="23"/>
          <w:szCs w:val="23"/>
        </w:rPr>
        <w:t>7.2. Why SLPD Underperforms</w:t>
      </w:r>
    </w:p>
    <w:p w14:paraId="47817C5E" w14:textId="77777777" w:rsidR="003C3F7B" w:rsidRDefault="00000000">
      <w:pPr>
        <w:spacing w:before="80" w:after="100" w:line="276" w:lineRule="auto"/>
        <w:jc w:val="both"/>
      </w:pPr>
      <w:r>
        <w:rPr>
          <w:color w:val="222222"/>
        </w:rPr>
        <w:t xml:space="preserve">The SLPD implementation used here is a significant simplification of the full covariance-based </w:t>
      </w:r>
      <w:proofErr w:type="spellStart"/>
      <w:r>
        <w:rPr>
          <w:color w:val="222222"/>
        </w:rPr>
        <w:t>MinT</w:t>
      </w:r>
      <w:proofErr w:type="spellEnd"/>
      <w:r>
        <w:rPr>
          <w:color w:val="222222"/>
        </w:rPr>
        <w:t xml:space="preserve"> of </w:t>
      </w:r>
      <w:proofErr w:type="spellStart"/>
      <w:r>
        <w:rPr>
          <w:color w:val="222222"/>
        </w:rPr>
        <w:t>Wickramasuriya</w:t>
      </w:r>
      <w:proofErr w:type="spellEnd"/>
      <w:r>
        <w:rPr>
          <w:color w:val="222222"/>
        </w:rPr>
        <w:t xml:space="preserve"> et al. [8]. Full </w:t>
      </w:r>
      <w:proofErr w:type="spellStart"/>
      <w:r>
        <w:rPr>
          <w:color w:val="222222"/>
        </w:rPr>
        <w:t>MinT</w:t>
      </w:r>
      <w:proofErr w:type="spellEnd"/>
      <w:r>
        <w:rPr>
          <w:color w:val="222222"/>
        </w:rPr>
        <w:t xml:space="preserve"> estimates the in-sample residual covariance matrix </w:t>
      </w:r>
      <w:proofErr w:type="spellStart"/>
      <w:r>
        <w:rPr>
          <w:color w:val="222222"/>
        </w:rPr>
        <w:t>Σ_h</w:t>
      </w:r>
      <w:proofErr w:type="spellEnd"/>
      <w:r>
        <w:rPr>
          <w:color w:val="222222"/>
        </w:rPr>
        <w:t>, which captures cross-series error correlations and enables variance-</w:t>
      </w:r>
      <w:proofErr w:type="spellStart"/>
      <w:r>
        <w:rPr>
          <w:color w:val="222222"/>
        </w:rPr>
        <w:t>minimising</w:t>
      </w:r>
      <w:proofErr w:type="spellEnd"/>
      <w:r>
        <w:rPr>
          <w:color w:val="222222"/>
        </w:rPr>
        <w:t xml:space="preserve"> projection. SLPD ignores these cross-series error correlations, effectively applying a simple disaggregation. At 3,331 leaf series, </w:t>
      </w:r>
      <w:proofErr w:type="spellStart"/>
      <w:r>
        <w:rPr>
          <w:color w:val="222222"/>
        </w:rPr>
        <w:t>Σ_h</w:t>
      </w:r>
      <w:proofErr w:type="spellEnd"/>
      <w:r>
        <w:rPr>
          <w:color w:val="222222"/>
        </w:rPr>
        <w:t xml:space="preserve"> is a 3,331 × 3,331 matrix; its estimation requires shrinkage methods such as </w:t>
      </w:r>
      <w:proofErr w:type="spellStart"/>
      <w:r>
        <w:rPr>
          <w:color w:val="222222"/>
        </w:rPr>
        <w:t>Ledoit</w:t>
      </w:r>
      <w:proofErr w:type="spellEnd"/>
      <w:r>
        <w:rPr>
          <w:color w:val="222222"/>
        </w:rPr>
        <w:t xml:space="preserve">–Wolf [34] or diagonal approximation. Full covariance-based </w:t>
      </w:r>
      <w:proofErr w:type="spellStart"/>
      <w:r>
        <w:rPr>
          <w:color w:val="222222"/>
        </w:rPr>
        <w:t>MinT</w:t>
      </w:r>
      <w:proofErr w:type="spellEnd"/>
      <w:r>
        <w:rPr>
          <w:color w:val="222222"/>
        </w:rPr>
        <w:t xml:space="preserve"> is the primary direction for future work.</w:t>
      </w:r>
    </w:p>
    <w:p w14:paraId="4D8D0CFF" w14:textId="77777777" w:rsidR="003C3F7B" w:rsidRDefault="00000000">
      <w:pPr>
        <w:spacing w:before="180" w:after="80"/>
      </w:pPr>
      <w:r>
        <w:rPr>
          <w:rFonts w:ascii="Arial" w:eastAsia="Arial" w:hAnsi="Arial" w:cs="Arial"/>
          <w:b/>
          <w:bCs/>
          <w:color w:val="0077B6"/>
          <w:sz w:val="23"/>
          <w:szCs w:val="23"/>
        </w:rPr>
        <w:t>7.3. Practical Implications</w:t>
      </w:r>
    </w:p>
    <w:p w14:paraId="373878B1" w14:textId="77777777" w:rsidR="003C3F7B" w:rsidRDefault="00000000">
      <w:pPr>
        <w:spacing w:before="80" w:after="100" w:line="276" w:lineRule="auto"/>
        <w:jc w:val="both"/>
      </w:pPr>
      <w:r>
        <w:rPr>
          <w:color w:val="222222"/>
        </w:rPr>
        <w:t>The ERM result has direct practical implications for retail demand planning. Per-series Ridge regression weights are computationally inexpensive to fit at training time and require no additional infrastructure beyond the base forecasting pipeline. The approach is robust to series heterogeneity and requires only that training residuals are available—a minimal requirement satisfied by any walk-forward forecasting setup. Practitioners can implement ERM reconciliation as a post-processing step on any existing base forecasting pipeline.</w:t>
      </w:r>
    </w:p>
    <w:p w14:paraId="0C7AE0EA" w14:textId="77777777" w:rsidR="003C3F7B" w:rsidRDefault="00000000">
      <w:pPr>
        <w:spacing w:before="180" w:after="80"/>
      </w:pPr>
      <w:r>
        <w:rPr>
          <w:rFonts w:ascii="Arial" w:eastAsia="Arial" w:hAnsi="Arial" w:cs="Arial"/>
          <w:b/>
          <w:bCs/>
          <w:color w:val="0077B6"/>
          <w:sz w:val="23"/>
          <w:szCs w:val="23"/>
        </w:rPr>
        <w:t>7.4. Limitations</w:t>
      </w:r>
    </w:p>
    <w:p w14:paraId="611336D7" w14:textId="77777777" w:rsidR="003C3F7B" w:rsidRDefault="00000000">
      <w:pPr>
        <w:pStyle w:val="ListParagraph"/>
        <w:numPr>
          <w:ilvl w:val="0"/>
          <w:numId w:val="1"/>
        </w:numPr>
        <w:spacing w:before="60" w:after="60"/>
        <w:jc w:val="both"/>
      </w:pPr>
      <w:r>
        <w:rPr>
          <w:color w:val="222222"/>
        </w:rPr>
        <w:t xml:space="preserve">SLPD vs. true </w:t>
      </w:r>
      <w:proofErr w:type="spellStart"/>
      <w:r>
        <w:rPr>
          <w:color w:val="222222"/>
        </w:rPr>
        <w:t>MinT</w:t>
      </w:r>
      <w:proofErr w:type="spellEnd"/>
      <w:r>
        <w:rPr>
          <w:color w:val="222222"/>
        </w:rPr>
        <w:t xml:space="preserve">: The Store-Level Proportional Disaggregation used here is not the canonical </w:t>
      </w:r>
      <w:proofErr w:type="spellStart"/>
      <w:r>
        <w:rPr>
          <w:color w:val="222222"/>
        </w:rPr>
        <w:t>MinT</w:t>
      </w:r>
      <w:proofErr w:type="spellEnd"/>
      <w:r>
        <w:rPr>
          <w:color w:val="222222"/>
        </w:rPr>
        <w:t xml:space="preserve"> estimator of </w:t>
      </w:r>
      <w:proofErr w:type="spellStart"/>
      <w:r>
        <w:rPr>
          <w:color w:val="222222"/>
        </w:rPr>
        <w:t>Wickramasuriya</w:t>
      </w:r>
      <w:proofErr w:type="spellEnd"/>
      <w:r>
        <w:rPr>
          <w:color w:val="222222"/>
        </w:rPr>
        <w:t xml:space="preserve"> et al. [8], which requires estimating the full residual covariance matrix. Full covariance-based </w:t>
      </w:r>
      <w:proofErr w:type="spellStart"/>
      <w:r>
        <w:rPr>
          <w:color w:val="222222"/>
        </w:rPr>
        <w:t>MinT</w:t>
      </w:r>
      <w:proofErr w:type="spellEnd"/>
      <w:r>
        <w:rPr>
          <w:color w:val="222222"/>
        </w:rPr>
        <w:t xml:space="preserve"> is identified as the primary direction for future work.</w:t>
      </w:r>
    </w:p>
    <w:p w14:paraId="392BBB09" w14:textId="77777777" w:rsidR="003C3F7B" w:rsidRDefault="00000000">
      <w:pPr>
        <w:pStyle w:val="ListParagraph"/>
        <w:numPr>
          <w:ilvl w:val="0"/>
          <w:numId w:val="1"/>
        </w:numPr>
        <w:spacing w:before="60" w:after="60"/>
        <w:jc w:val="both"/>
      </w:pPr>
      <w:r>
        <w:rPr>
          <w:color w:val="222222"/>
        </w:rPr>
        <w:t>Single base model: A single GBM is trained across all 3,331 series simultaneously. Per-series models or neural architectures (e.g., N-BEATS [37], TFT [38]) may improve base accuracy.</w:t>
      </w:r>
    </w:p>
    <w:p w14:paraId="5DB31572" w14:textId="77777777" w:rsidR="003C3F7B" w:rsidRDefault="00000000">
      <w:pPr>
        <w:pStyle w:val="ListParagraph"/>
        <w:numPr>
          <w:ilvl w:val="0"/>
          <w:numId w:val="1"/>
        </w:numPr>
        <w:spacing w:before="60" w:after="60"/>
        <w:jc w:val="both"/>
      </w:pPr>
      <w:r>
        <w:rPr>
          <w:color w:val="222222"/>
        </w:rPr>
        <w:t>Inventory parameters: Cost parameters are textbook defaults and are not calibrated to Walmart's actual inventory system.</w:t>
      </w:r>
    </w:p>
    <w:p w14:paraId="3A4A93B3" w14:textId="77777777" w:rsidR="003C3F7B" w:rsidRDefault="00000000">
      <w:pPr>
        <w:pStyle w:val="ListParagraph"/>
        <w:numPr>
          <w:ilvl w:val="0"/>
          <w:numId w:val="1"/>
        </w:numPr>
        <w:spacing w:before="60" w:after="60"/>
        <w:jc w:val="both"/>
      </w:pPr>
      <w:r>
        <w:rPr>
          <w:color w:val="222222"/>
        </w:rPr>
        <w:t xml:space="preserve">Temporal scope: The dataset spans 2010–2012. </w:t>
      </w:r>
      <w:proofErr w:type="spellStart"/>
      <w:r>
        <w:rPr>
          <w:color w:val="222222"/>
        </w:rPr>
        <w:t>Generalisation</w:t>
      </w:r>
      <w:proofErr w:type="spellEnd"/>
      <w:r>
        <w:rPr>
          <w:color w:val="222222"/>
        </w:rPr>
        <w:t xml:space="preserve"> to post-2012 periods or different retail contexts is not assessed.</w:t>
      </w:r>
    </w:p>
    <w:p w14:paraId="5A111956" w14:textId="77777777" w:rsidR="003C3F7B" w:rsidRDefault="00000000">
      <w:pPr>
        <w:pStyle w:val="ListParagraph"/>
        <w:numPr>
          <w:ilvl w:val="0"/>
          <w:numId w:val="1"/>
        </w:numPr>
        <w:spacing w:before="60" w:after="60"/>
        <w:jc w:val="both"/>
      </w:pPr>
      <w:r>
        <w:rPr>
          <w:color w:val="222222"/>
        </w:rPr>
        <w:t>Probabilistic forecasting: This study evaluates point forecast accuracy only. Probabilistic hierarchical reconciliation [39] is a valuable extension.</w:t>
      </w:r>
    </w:p>
    <w:p w14:paraId="5D05D3E1" w14:textId="77777777" w:rsidR="003C3F7B" w:rsidRDefault="003C3F7B">
      <w:pPr>
        <w:spacing w:after="160"/>
      </w:pPr>
    </w:p>
    <w:p w14:paraId="439E3E32" w14:textId="77777777" w:rsidR="003C3F7B" w:rsidRDefault="00000000">
      <w:pPr>
        <w:pBdr>
          <w:bottom w:val="single" w:sz="4" w:space="4" w:color="0077B6"/>
        </w:pBdr>
        <w:spacing w:before="240" w:after="120"/>
      </w:pPr>
      <w:r>
        <w:rPr>
          <w:rFonts w:ascii="Arial" w:eastAsia="Arial" w:hAnsi="Arial" w:cs="Arial"/>
          <w:b/>
          <w:bCs/>
          <w:color w:val="0077B6"/>
          <w:sz w:val="26"/>
          <w:szCs w:val="26"/>
        </w:rPr>
        <w:t>8. Conclusions</w:t>
      </w:r>
    </w:p>
    <w:p w14:paraId="28C4EDBD" w14:textId="77777777" w:rsidR="003C3F7B" w:rsidRDefault="00000000">
      <w:pPr>
        <w:spacing w:before="80" w:after="100" w:line="276" w:lineRule="auto"/>
        <w:jc w:val="both"/>
      </w:pPr>
      <w:r>
        <w:rPr>
          <w:color w:val="222222"/>
        </w:rPr>
        <w:t xml:space="preserve">This study demonstrates that Empirical Risk </w:t>
      </w:r>
      <w:proofErr w:type="spellStart"/>
      <w:r>
        <w:rPr>
          <w:color w:val="222222"/>
        </w:rPr>
        <w:t>Minimisation</w:t>
      </w:r>
      <w:proofErr w:type="spellEnd"/>
      <w:r>
        <w:rPr>
          <w:color w:val="222222"/>
        </w:rPr>
        <w:t xml:space="preserve"> (ERM) reconciliation—per-series Ridge regression weights fitted on training residuals—successfully achieves hierarchical coherence with only a negligible 1.9% increase in department-level RMSE over the incoherent base model ($3,044 vs. $2,987), significantly outperforming other reconciliation methods that degrade accuracy by over 50%. ERM is statistically significantly better than Bottom-Up at department level (DM = −3.228, p = 0.0012, HAC-corrected), and achieves the best store-level and chain-level accuracy among all methods, all without any test-period data leakage.</w:t>
      </w:r>
    </w:p>
    <w:p w14:paraId="25E142E1" w14:textId="77777777" w:rsidR="003C3F7B" w:rsidRDefault="00000000">
      <w:pPr>
        <w:spacing w:before="80" w:after="100" w:line="276" w:lineRule="auto"/>
        <w:jc w:val="both"/>
      </w:pPr>
      <w:r>
        <w:rPr>
          <w:color w:val="222222"/>
        </w:rPr>
        <w:t>Top-Down and SLPD both degrade department-level accuracy relative to the unreconciled base model, confirming that coarse historical proportions are insufficient for heterogeneous retail demand series with non-stationary share dynamics.</w:t>
      </w:r>
    </w:p>
    <w:p w14:paraId="4DCF75B3" w14:textId="77777777" w:rsidR="003C3F7B" w:rsidRDefault="00000000">
      <w:pPr>
        <w:spacing w:before="80" w:after="100" w:line="276" w:lineRule="auto"/>
        <w:jc w:val="both"/>
      </w:pPr>
      <w:r>
        <w:rPr>
          <w:color w:val="222222"/>
        </w:rPr>
        <w:t xml:space="preserve">The pipeline is fully open-source and reproducible. All reconciliation steps use training-period information only, and statistical inference uses appropriate HAC-corrected tests rather than naïve </w:t>
      </w:r>
      <w:proofErr w:type="spellStart"/>
      <w:r>
        <w:rPr>
          <w:color w:val="222222"/>
        </w:rPr>
        <w:t>i.i.d.</w:t>
      </w:r>
      <w:proofErr w:type="spellEnd"/>
      <w:r>
        <w:rPr>
          <w:color w:val="222222"/>
        </w:rPr>
        <w:t xml:space="preserve"> assumptions. The complete codebase is available at: https://github.com/rohanovro/walmart-hierarchical-forecasting</w:t>
      </w:r>
    </w:p>
    <w:p w14:paraId="2AE32434" w14:textId="77777777" w:rsidR="003C3F7B" w:rsidRDefault="00000000">
      <w:pPr>
        <w:spacing w:before="80" w:after="200" w:line="276" w:lineRule="auto"/>
        <w:jc w:val="both"/>
      </w:pPr>
      <w:r>
        <w:rPr>
          <w:color w:val="222222"/>
        </w:rPr>
        <w:t xml:space="preserve">Future work includes: (1) full covariance-based </w:t>
      </w:r>
      <w:proofErr w:type="spellStart"/>
      <w:r>
        <w:rPr>
          <w:color w:val="222222"/>
        </w:rPr>
        <w:t>MinT</w:t>
      </w:r>
      <w:proofErr w:type="spellEnd"/>
      <w:r>
        <w:rPr>
          <w:color w:val="222222"/>
        </w:rPr>
        <w:t xml:space="preserve"> with </w:t>
      </w:r>
      <w:proofErr w:type="spellStart"/>
      <w:r>
        <w:rPr>
          <w:color w:val="222222"/>
        </w:rPr>
        <w:t>Ledoit</w:t>
      </w:r>
      <w:proofErr w:type="spellEnd"/>
      <w:r>
        <w:rPr>
          <w:color w:val="222222"/>
        </w:rPr>
        <w:t xml:space="preserve">–Wolf shrinkage estimation of </w:t>
      </w:r>
      <w:proofErr w:type="spellStart"/>
      <w:r>
        <w:rPr>
          <w:color w:val="222222"/>
        </w:rPr>
        <w:t>Σ_h</w:t>
      </w:r>
      <w:proofErr w:type="spellEnd"/>
      <w:r>
        <w:rPr>
          <w:color w:val="222222"/>
        </w:rPr>
        <w:t xml:space="preserve">; (2) neural reconciliation approaches including </w:t>
      </w:r>
      <w:proofErr w:type="spellStart"/>
      <w:r>
        <w:rPr>
          <w:color w:val="222222"/>
        </w:rPr>
        <w:t>DeepMINT</w:t>
      </w:r>
      <w:proofErr w:type="spellEnd"/>
      <w:r>
        <w:rPr>
          <w:color w:val="222222"/>
        </w:rPr>
        <w:t xml:space="preserve"> and reconciled RNNs; (3) online adaptive weight learning with distribution shift detection; (4) probabilistic hierarchical forecasting; and (5) integration with real-time markdown and promotional planning </w:t>
      </w:r>
      <w:proofErr w:type="spellStart"/>
      <w:r>
        <w:rPr>
          <w:color w:val="222222"/>
        </w:rPr>
        <w:t>optimisation</w:t>
      </w:r>
      <w:proofErr w:type="spellEnd"/>
      <w:r>
        <w:rPr>
          <w:color w:val="222222"/>
        </w:rPr>
        <w:t>.</w:t>
      </w:r>
    </w:p>
    <w:p w14:paraId="66F0A000" w14:textId="77777777" w:rsidR="003C3F7B" w:rsidRDefault="00000000">
      <w:pPr>
        <w:pBdr>
          <w:bottom w:val="single" w:sz="4" w:space="4" w:color="0077B6"/>
        </w:pBdr>
        <w:spacing w:before="240" w:after="120"/>
      </w:pPr>
      <w:r>
        <w:rPr>
          <w:rFonts w:ascii="Arial" w:eastAsia="Arial" w:hAnsi="Arial" w:cs="Arial"/>
          <w:b/>
          <w:bCs/>
          <w:color w:val="0077B6"/>
          <w:sz w:val="26"/>
          <w:szCs w:val="26"/>
        </w:rPr>
        <w:t>Author Contributions</w:t>
      </w:r>
    </w:p>
    <w:p w14:paraId="38371A49" w14:textId="77777777" w:rsidR="003C3F7B" w:rsidRDefault="00000000">
      <w:pPr>
        <w:spacing w:before="80" w:after="120" w:line="276" w:lineRule="auto"/>
        <w:jc w:val="both"/>
      </w:pPr>
      <w:r>
        <w:rPr>
          <w:color w:val="222222"/>
        </w:rPr>
        <w:t>Conceptualization, M.H.R.; Methodology, M.H.R.; Software, M.H.R.; Formal Analysis, M.H.R.; Writing—Original Draft, M.H.R.; Writing—Review and Editing, M.H.R. The author has read and agreed to the published version of the manuscript.</w:t>
      </w:r>
    </w:p>
    <w:p w14:paraId="34F826C8" w14:textId="77777777" w:rsidR="003C3F7B" w:rsidRDefault="00000000">
      <w:pPr>
        <w:pBdr>
          <w:bottom w:val="single" w:sz="4" w:space="4" w:color="0077B6"/>
        </w:pBdr>
        <w:spacing w:before="240" w:after="120"/>
      </w:pPr>
      <w:r>
        <w:rPr>
          <w:rFonts w:ascii="Arial" w:eastAsia="Arial" w:hAnsi="Arial" w:cs="Arial"/>
          <w:b/>
          <w:bCs/>
          <w:color w:val="0077B6"/>
          <w:sz w:val="26"/>
          <w:szCs w:val="26"/>
        </w:rPr>
        <w:t>Funding</w:t>
      </w:r>
    </w:p>
    <w:p w14:paraId="2EF48C57" w14:textId="77777777" w:rsidR="003C3F7B" w:rsidRDefault="00000000">
      <w:pPr>
        <w:spacing w:before="80" w:after="120" w:line="276" w:lineRule="auto"/>
        <w:jc w:val="both"/>
      </w:pPr>
      <w:r>
        <w:rPr>
          <w:color w:val="222222"/>
        </w:rPr>
        <w:t>This research received no external funding.</w:t>
      </w:r>
    </w:p>
    <w:p w14:paraId="76B8BC98" w14:textId="77777777" w:rsidR="003C3F7B" w:rsidRDefault="00000000">
      <w:pPr>
        <w:pBdr>
          <w:bottom w:val="single" w:sz="4" w:space="4" w:color="0077B6"/>
        </w:pBdr>
        <w:spacing w:before="240" w:after="120"/>
      </w:pPr>
      <w:r>
        <w:rPr>
          <w:rFonts w:ascii="Arial" w:eastAsia="Arial" w:hAnsi="Arial" w:cs="Arial"/>
          <w:b/>
          <w:bCs/>
          <w:color w:val="0077B6"/>
          <w:sz w:val="26"/>
          <w:szCs w:val="26"/>
        </w:rPr>
        <w:t>Data Availability Statement</w:t>
      </w:r>
    </w:p>
    <w:p w14:paraId="28280F01" w14:textId="77777777" w:rsidR="003C3F7B" w:rsidRDefault="00000000">
      <w:pPr>
        <w:spacing w:before="80" w:after="120" w:line="276" w:lineRule="auto"/>
        <w:jc w:val="both"/>
      </w:pPr>
      <w:r>
        <w:rPr>
          <w:color w:val="222222"/>
        </w:rPr>
        <w:t>The Walmart Store Sales dataset is publicly available at: https://www.kaggle.com/competitions/walmart-recruiting-store-sales-forecasting. The complete analysis pipeline is available at: https://github.com/rohanovro/walmart-hierarchical-forecasting</w:t>
      </w:r>
    </w:p>
    <w:p w14:paraId="23D44F8A" w14:textId="77777777" w:rsidR="003C3F7B" w:rsidRDefault="00000000">
      <w:pPr>
        <w:pBdr>
          <w:bottom w:val="single" w:sz="4" w:space="4" w:color="0077B6"/>
        </w:pBdr>
        <w:spacing w:before="240" w:after="120"/>
      </w:pPr>
      <w:r>
        <w:rPr>
          <w:rFonts w:ascii="Arial" w:eastAsia="Arial" w:hAnsi="Arial" w:cs="Arial"/>
          <w:b/>
          <w:bCs/>
          <w:color w:val="0077B6"/>
          <w:sz w:val="26"/>
          <w:szCs w:val="26"/>
        </w:rPr>
        <w:t>Conflicts of Interest</w:t>
      </w:r>
    </w:p>
    <w:p w14:paraId="22FC2120" w14:textId="77777777" w:rsidR="003C3F7B" w:rsidRDefault="00000000">
      <w:pPr>
        <w:spacing w:before="80" w:after="120" w:line="276" w:lineRule="auto"/>
        <w:jc w:val="both"/>
      </w:pPr>
      <w:r>
        <w:rPr>
          <w:color w:val="222222"/>
        </w:rPr>
        <w:t>The author declares no conflicts of interest.</w:t>
      </w:r>
    </w:p>
    <w:p w14:paraId="3D8F80BF" w14:textId="77777777" w:rsidR="003C3F7B" w:rsidRDefault="00000000">
      <w:pPr>
        <w:pBdr>
          <w:bottom w:val="single" w:sz="4" w:space="4" w:color="0077B6"/>
        </w:pBdr>
        <w:spacing w:before="240" w:after="120"/>
      </w:pPr>
      <w:r>
        <w:rPr>
          <w:rFonts w:ascii="Arial" w:eastAsia="Arial" w:hAnsi="Arial" w:cs="Arial"/>
          <w:b/>
          <w:bCs/>
          <w:color w:val="0077B6"/>
          <w:sz w:val="26"/>
          <w:szCs w:val="26"/>
        </w:rPr>
        <w:t>Use of AI Tools</w:t>
      </w:r>
    </w:p>
    <w:p w14:paraId="454AFB19" w14:textId="77777777" w:rsidR="003C3F7B" w:rsidRDefault="00000000">
      <w:pPr>
        <w:spacing w:before="80" w:after="200" w:line="276" w:lineRule="auto"/>
        <w:jc w:val="both"/>
      </w:pPr>
      <w:r>
        <w:rPr>
          <w:color w:val="222222"/>
        </w:rPr>
        <w:t>AI-based tools (ChatGPT) were used to assist with language refinement and editing. The author reviewed and revised all AI-assisted content and takes full responsibility for the final manuscript.</w:t>
      </w:r>
    </w:p>
    <w:p w14:paraId="688FD482" w14:textId="77777777" w:rsidR="003C3F7B" w:rsidRDefault="00000000">
      <w:pPr>
        <w:pBdr>
          <w:bottom w:val="single" w:sz="4" w:space="4" w:color="0077B6"/>
        </w:pBdr>
        <w:spacing w:before="240" w:after="120"/>
      </w:pPr>
      <w:r>
        <w:rPr>
          <w:rFonts w:ascii="Arial" w:eastAsia="Arial" w:hAnsi="Arial" w:cs="Arial"/>
          <w:b/>
          <w:bCs/>
          <w:color w:val="0077B6"/>
          <w:sz w:val="26"/>
          <w:szCs w:val="26"/>
        </w:rPr>
        <w:t>References</w:t>
      </w:r>
    </w:p>
    <w:p w14:paraId="70D864AD" w14:textId="77777777" w:rsidR="003C3F7B" w:rsidRDefault="00000000">
      <w:pPr>
        <w:spacing w:before="40" w:after="40"/>
        <w:ind w:left="360" w:hanging="360"/>
        <w:jc w:val="both"/>
      </w:pPr>
      <w:r>
        <w:rPr>
          <w:color w:val="222222"/>
          <w:sz w:val="20"/>
          <w:szCs w:val="20"/>
        </w:rPr>
        <w:t>1. Chopra, S.; Meindl, P. Supply Chain Management: Strategy, Planning, and Operation, 6th ed.; Pearson Education: London, UK, 2016.</w:t>
      </w:r>
    </w:p>
    <w:p w14:paraId="389B3ECE" w14:textId="77777777" w:rsidR="003C3F7B" w:rsidRDefault="00000000">
      <w:pPr>
        <w:spacing w:before="40" w:after="40"/>
        <w:ind w:left="360" w:hanging="360"/>
        <w:jc w:val="both"/>
      </w:pPr>
      <w:r>
        <w:rPr>
          <w:color w:val="222222"/>
          <w:sz w:val="20"/>
          <w:szCs w:val="20"/>
        </w:rPr>
        <w:t xml:space="preserve">2. Mentzer, J.T.; DeWitt, W.; Keebler, J.S.; Min, S.; Nix, N.W.; Smith, C.D.; Zacharia, Z.G. Defining supply chain management. J. Bus. </w:t>
      </w:r>
      <w:proofErr w:type="spellStart"/>
      <w:r>
        <w:rPr>
          <w:color w:val="222222"/>
          <w:sz w:val="20"/>
          <w:szCs w:val="20"/>
        </w:rPr>
        <w:t>Logist</w:t>
      </w:r>
      <w:proofErr w:type="spellEnd"/>
      <w:r>
        <w:rPr>
          <w:color w:val="222222"/>
          <w:sz w:val="20"/>
          <w:szCs w:val="20"/>
        </w:rPr>
        <w:t>. 2001, 22, 1–25.</w:t>
      </w:r>
    </w:p>
    <w:p w14:paraId="36C5255A" w14:textId="77777777" w:rsidR="003C3F7B" w:rsidRDefault="00000000">
      <w:pPr>
        <w:spacing w:before="40" w:after="40"/>
        <w:ind w:left="360" w:hanging="360"/>
        <w:jc w:val="both"/>
      </w:pPr>
      <w:r>
        <w:rPr>
          <w:color w:val="222222"/>
          <w:sz w:val="20"/>
          <w:szCs w:val="20"/>
        </w:rPr>
        <w:t xml:space="preserve">3. Hyndman, R.J.; Athanasopoulos, G. Forecasting: Principles and Practice, 3rd ed.; </w:t>
      </w:r>
      <w:proofErr w:type="spellStart"/>
      <w:r>
        <w:rPr>
          <w:color w:val="222222"/>
          <w:sz w:val="20"/>
          <w:szCs w:val="20"/>
        </w:rPr>
        <w:t>OTexts</w:t>
      </w:r>
      <w:proofErr w:type="spellEnd"/>
      <w:r>
        <w:rPr>
          <w:color w:val="222222"/>
          <w:sz w:val="20"/>
          <w:szCs w:val="20"/>
        </w:rPr>
        <w:t>: Melbourne, Australia, 2021. Available online: https://otexts.com/fpp3/</w:t>
      </w:r>
    </w:p>
    <w:p w14:paraId="4436B03B" w14:textId="77777777" w:rsidR="003C3F7B" w:rsidRDefault="00000000">
      <w:pPr>
        <w:spacing w:before="40" w:after="40"/>
        <w:ind w:left="360" w:hanging="360"/>
        <w:jc w:val="both"/>
      </w:pPr>
      <w:r>
        <w:rPr>
          <w:color w:val="222222"/>
          <w:sz w:val="20"/>
          <w:szCs w:val="20"/>
        </w:rPr>
        <w:t xml:space="preserve">4. Hyndman, R.J.; Lee, A.J.; Wang, E. Fast computation of reconciled forecasts for hierarchical and grouped time series. </w:t>
      </w:r>
      <w:proofErr w:type="spellStart"/>
      <w:r>
        <w:rPr>
          <w:color w:val="222222"/>
          <w:sz w:val="20"/>
          <w:szCs w:val="20"/>
        </w:rPr>
        <w:t>Comput</w:t>
      </w:r>
      <w:proofErr w:type="spellEnd"/>
      <w:r>
        <w:rPr>
          <w:color w:val="222222"/>
          <w:sz w:val="20"/>
          <w:szCs w:val="20"/>
        </w:rPr>
        <w:t>. Stat. Data Anal. 2016, 97, 16–32.</w:t>
      </w:r>
    </w:p>
    <w:p w14:paraId="0113ACAA" w14:textId="77777777" w:rsidR="003C3F7B" w:rsidRDefault="00000000">
      <w:pPr>
        <w:spacing w:before="40" w:after="40"/>
        <w:ind w:left="360" w:hanging="360"/>
        <w:jc w:val="both"/>
      </w:pPr>
      <w:r>
        <w:rPr>
          <w:color w:val="222222"/>
          <w:sz w:val="20"/>
          <w:szCs w:val="20"/>
        </w:rPr>
        <w:t xml:space="preserve">5. Dunn, D.M.; Williams, W.H.; Dechaine, T.L. Aggregate versus </w:t>
      </w:r>
      <w:proofErr w:type="spellStart"/>
      <w:r>
        <w:rPr>
          <w:color w:val="222222"/>
          <w:sz w:val="20"/>
          <w:szCs w:val="20"/>
        </w:rPr>
        <w:t>subaggregate</w:t>
      </w:r>
      <w:proofErr w:type="spellEnd"/>
      <w:r>
        <w:rPr>
          <w:color w:val="222222"/>
          <w:sz w:val="20"/>
          <w:szCs w:val="20"/>
        </w:rPr>
        <w:t xml:space="preserve"> models in local area forecasting. J. Am. Stat. Assoc. 1976, 71, 68–71.</w:t>
      </w:r>
    </w:p>
    <w:p w14:paraId="6AD3B871" w14:textId="77777777" w:rsidR="003C3F7B" w:rsidRDefault="00000000">
      <w:pPr>
        <w:spacing w:before="40" w:after="40"/>
        <w:ind w:left="360" w:hanging="360"/>
        <w:jc w:val="both"/>
      </w:pPr>
      <w:r>
        <w:rPr>
          <w:color w:val="222222"/>
          <w:sz w:val="20"/>
          <w:szCs w:val="20"/>
        </w:rPr>
        <w:t>6. Gross, C.W.; Sohl, J.E. Disaggregation methods to expedite product line forecasting. J. Forecast. 1990, 9, 233–254.</w:t>
      </w:r>
    </w:p>
    <w:p w14:paraId="5757BA37" w14:textId="77777777" w:rsidR="003C3F7B" w:rsidRDefault="00000000">
      <w:pPr>
        <w:spacing w:before="40" w:after="40"/>
        <w:ind w:left="360" w:hanging="360"/>
        <w:jc w:val="both"/>
      </w:pPr>
      <w:r>
        <w:rPr>
          <w:color w:val="222222"/>
          <w:sz w:val="20"/>
          <w:szCs w:val="20"/>
        </w:rPr>
        <w:t xml:space="preserve">7. Hyndman, R.J.; Ahmed, R.A.; Athanasopoulos, G.; Shang, H.L. Optimal combination forecasts for hierarchical time series. </w:t>
      </w:r>
      <w:proofErr w:type="spellStart"/>
      <w:r>
        <w:rPr>
          <w:color w:val="222222"/>
          <w:sz w:val="20"/>
          <w:szCs w:val="20"/>
        </w:rPr>
        <w:t>Comput</w:t>
      </w:r>
      <w:proofErr w:type="spellEnd"/>
      <w:r>
        <w:rPr>
          <w:color w:val="222222"/>
          <w:sz w:val="20"/>
          <w:szCs w:val="20"/>
        </w:rPr>
        <w:t>. Stat. Data Anal. 2011, 55, 2579–2589.</w:t>
      </w:r>
    </w:p>
    <w:p w14:paraId="5B8FBC66" w14:textId="77777777" w:rsidR="003C3F7B" w:rsidRDefault="00000000">
      <w:pPr>
        <w:spacing w:before="40" w:after="40"/>
        <w:ind w:left="360" w:hanging="360"/>
        <w:jc w:val="both"/>
      </w:pPr>
      <w:r>
        <w:rPr>
          <w:color w:val="222222"/>
          <w:sz w:val="20"/>
          <w:szCs w:val="20"/>
        </w:rPr>
        <w:t xml:space="preserve">8. </w:t>
      </w:r>
      <w:proofErr w:type="spellStart"/>
      <w:r>
        <w:rPr>
          <w:color w:val="222222"/>
          <w:sz w:val="20"/>
          <w:szCs w:val="20"/>
        </w:rPr>
        <w:t>Wickramasuriya</w:t>
      </w:r>
      <w:proofErr w:type="spellEnd"/>
      <w:r>
        <w:rPr>
          <w:color w:val="222222"/>
          <w:sz w:val="20"/>
          <w:szCs w:val="20"/>
        </w:rPr>
        <w:t>, S.L.; Athanasopoulos, G.; Hyndman, R.J. Optimal forecast reconciliation using unbiased estimating equations. J. Am. Stat. Assoc. 2019, 114, 804–819.</w:t>
      </w:r>
    </w:p>
    <w:p w14:paraId="343B8EE4" w14:textId="77777777" w:rsidR="003C3F7B" w:rsidRDefault="00000000">
      <w:pPr>
        <w:spacing w:before="40" w:after="40"/>
        <w:ind w:left="360" w:hanging="360"/>
        <w:jc w:val="both"/>
      </w:pPr>
      <w:r>
        <w:rPr>
          <w:color w:val="222222"/>
          <w:sz w:val="20"/>
          <w:szCs w:val="20"/>
        </w:rPr>
        <w:t xml:space="preserve">9. </w:t>
      </w:r>
      <w:proofErr w:type="spellStart"/>
      <w:r>
        <w:rPr>
          <w:color w:val="222222"/>
          <w:sz w:val="20"/>
          <w:szCs w:val="20"/>
        </w:rPr>
        <w:t>Panagiotelis</w:t>
      </w:r>
      <w:proofErr w:type="spellEnd"/>
      <w:r>
        <w:rPr>
          <w:color w:val="222222"/>
          <w:sz w:val="20"/>
          <w:szCs w:val="20"/>
        </w:rPr>
        <w:t xml:space="preserve">, A.; Athanasopoulos, G.; </w:t>
      </w:r>
      <w:proofErr w:type="spellStart"/>
      <w:r>
        <w:rPr>
          <w:color w:val="222222"/>
          <w:sz w:val="20"/>
          <w:szCs w:val="20"/>
        </w:rPr>
        <w:t>Gamakumara</w:t>
      </w:r>
      <w:proofErr w:type="spellEnd"/>
      <w:r>
        <w:rPr>
          <w:color w:val="222222"/>
          <w:sz w:val="20"/>
          <w:szCs w:val="20"/>
        </w:rPr>
        <w:t>, P.; Hyndman, R.J. Forecast reconciliation: A geometric view with new insights on bias correction. Int. J. Forecast. 2021, 37, 343–359.</w:t>
      </w:r>
    </w:p>
    <w:p w14:paraId="6BE581A4" w14:textId="77777777" w:rsidR="003C3F7B" w:rsidRDefault="00000000">
      <w:pPr>
        <w:spacing w:before="40" w:after="40"/>
        <w:ind w:left="360" w:hanging="360"/>
        <w:jc w:val="both"/>
      </w:pPr>
      <w:r>
        <w:rPr>
          <w:color w:val="222222"/>
          <w:sz w:val="20"/>
          <w:szCs w:val="20"/>
        </w:rPr>
        <w:t>10. Nystrup, P.; Lindstrom, E.; Pinson, P.; Madsen, H. Temporal hierarchies with autocorrelation for load forecasting. Eur. J. Oper. Res. 2020, 280, 876–888.</w:t>
      </w:r>
    </w:p>
    <w:p w14:paraId="5EAB4EFC" w14:textId="77777777" w:rsidR="003C3F7B" w:rsidRDefault="00000000">
      <w:pPr>
        <w:spacing w:before="40" w:after="40"/>
        <w:ind w:left="360" w:hanging="360"/>
        <w:jc w:val="both"/>
      </w:pPr>
      <w:r>
        <w:rPr>
          <w:color w:val="222222"/>
          <w:sz w:val="20"/>
          <w:szCs w:val="20"/>
        </w:rPr>
        <w:t>11. Taieb, S.B.; Hyndman, R.J. Regularized regression for hierarchical forecasting without unbiasedness conditions. In Proceedings of the 25th ACM SIGKDD International Conference on Knowledge Discovery and Data Mining, Anchorage, AK, USA, 4–8 August 2019; pp. 1337–1347.</w:t>
      </w:r>
    </w:p>
    <w:p w14:paraId="6D0214A7" w14:textId="77777777" w:rsidR="003C3F7B" w:rsidRDefault="00000000">
      <w:pPr>
        <w:spacing w:before="40" w:after="40"/>
        <w:ind w:left="360" w:hanging="360"/>
        <w:jc w:val="both"/>
      </w:pPr>
      <w:r>
        <w:rPr>
          <w:color w:val="222222"/>
          <w:sz w:val="20"/>
          <w:szCs w:val="20"/>
        </w:rPr>
        <w:t xml:space="preserve">12. </w:t>
      </w:r>
      <w:proofErr w:type="spellStart"/>
      <w:r>
        <w:rPr>
          <w:color w:val="222222"/>
          <w:sz w:val="20"/>
          <w:szCs w:val="20"/>
        </w:rPr>
        <w:t>Rangapuram</w:t>
      </w:r>
      <w:proofErr w:type="spellEnd"/>
      <w:r>
        <w:rPr>
          <w:color w:val="222222"/>
          <w:sz w:val="20"/>
          <w:szCs w:val="20"/>
        </w:rPr>
        <w:t xml:space="preserve">, S.S.; Seeger, M.W.; Gasthaus, J.; Stella, L.; Wang, Y.; </w:t>
      </w:r>
      <w:proofErr w:type="spellStart"/>
      <w:r>
        <w:rPr>
          <w:color w:val="222222"/>
          <w:sz w:val="20"/>
          <w:szCs w:val="20"/>
        </w:rPr>
        <w:t>Januschowski</w:t>
      </w:r>
      <w:proofErr w:type="spellEnd"/>
      <w:r>
        <w:rPr>
          <w:color w:val="222222"/>
          <w:sz w:val="20"/>
          <w:szCs w:val="20"/>
        </w:rPr>
        <w:t>, T. Deep state space models for time series forecasting. Adv. Neural Inf. Process. Syst. 2018, 31.</w:t>
      </w:r>
    </w:p>
    <w:p w14:paraId="03DF3538" w14:textId="77777777" w:rsidR="003C3F7B" w:rsidRDefault="00000000">
      <w:pPr>
        <w:spacing w:before="40" w:after="40"/>
        <w:ind w:left="360" w:hanging="360"/>
        <w:jc w:val="both"/>
      </w:pPr>
      <w:r>
        <w:rPr>
          <w:color w:val="222222"/>
          <w:sz w:val="20"/>
          <w:szCs w:val="20"/>
        </w:rPr>
        <w:t>13. Taieb, S.B.; Taylor, J.W.; Hyndman, R.J. Coherent probabilistic forecasts for hierarchical time series. In Proceedings of the 34th International Conference on Machine Learning (ICML), Sydney, Australia, 6–11 August 2017; pp. 3348–3357.</w:t>
      </w:r>
    </w:p>
    <w:p w14:paraId="25096436" w14:textId="77777777" w:rsidR="003C3F7B" w:rsidRDefault="00000000">
      <w:pPr>
        <w:spacing w:before="40" w:after="40"/>
        <w:ind w:left="360" w:hanging="360"/>
        <w:jc w:val="both"/>
      </w:pPr>
      <w:r>
        <w:rPr>
          <w:color w:val="222222"/>
          <w:sz w:val="20"/>
          <w:szCs w:val="20"/>
        </w:rPr>
        <w:t>14. Kaggle. Walmart Recruiting—Store Sales Forecasting. 2014. Available online: https://www.kaggle.com/competitions/walmart-recruiting-store-sales-forecasting</w:t>
      </w:r>
    </w:p>
    <w:p w14:paraId="74562E4D" w14:textId="77777777" w:rsidR="003C3F7B" w:rsidRDefault="00000000">
      <w:pPr>
        <w:spacing w:before="40" w:after="40"/>
        <w:ind w:left="360" w:hanging="360"/>
        <w:jc w:val="both"/>
      </w:pPr>
      <w:r>
        <w:rPr>
          <w:color w:val="222222"/>
          <w:sz w:val="20"/>
          <w:szCs w:val="20"/>
        </w:rPr>
        <w:t>15. Bojer, C.S.; Meldgaard, J.P. Kaggle forecasting competitions: An overlooked learning opportunity. Int. J. Forecast. 2021, 37, 587–603.</w:t>
      </w:r>
    </w:p>
    <w:p w14:paraId="293B3324" w14:textId="77777777" w:rsidR="003C3F7B" w:rsidRDefault="00000000">
      <w:pPr>
        <w:spacing w:before="40" w:after="40"/>
        <w:ind w:left="360" w:hanging="360"/>
        <w:jc w:val="both"/>
      </w:pPr>
      <w:r>
        <w:rPr>
          <w:color w:val="222222"/>
          <w:sz w:val="20"/>
          <w:szCs w:val="20"/>
        </w:rPr>
        <w:t>16. Carbonneau, R.; Laframboise, K.; Vahidov, R. Application of machine learning techniques for supply chain demand forecasting. Eur. J. Oper. Res. 2008, 184, 1140–1154.</w:t>
      </w:r>
    </w:p>
    <w:p w14:paraId="5F25A698" w14:textId="77777777" w:rsidR="003C3F7B" w:rsidRDefault="00000000">
      <w:pPr>
        <w:spacing w:before="40" w:after="40"/>
        <w:ind w:left="360" w:hanging="360"/>
        <w:jc w:val="both"/>
      </w:pPr>
      <w:r>
        <w:rPr>
          <w:color w:val="222222"/>
          <w:sz w:val="20"/>
          <w:szCs w:val="20"/>
        </w:rPr>
        <w:t>17. Fliedner, E.B. Hierarchical forecasting: Issues and use guidelines. Ind. Manag. Data Syst. 2001, 101, 5–12.</w:t>
      </w:r>
    </w:p>
    <w:p w14:paraId="4275101A" w14:textId="77777777" w:rsidR="003C3F7B" w:rsidRDefault="00000000">
      <w:pPr>
        <w:spacing w:before="40" w:after="40"/>
        <w:ind w:left="360" w:hanging="360"/>
        <w:jc w:val="both"/>
      </w:pPr>
      <w:r>
        <w:rPr>
          <w:color w:val="222222"/>
          <w:sz w:val="20"/>
          <w:szCs w:val="20"/>
        </w:rPr>
        <w:t>18. Athanasopoulos, G.; Ahmed, R.A.; Hyndman, R.J. Hierarchical forecasts for Australian domestic tourism. Int. J. Forecast. 2009, 25, 146–166.</w:t>
      </w:r>
    </w:p>
    <w:p w14:paraId="1FF78B17" w14:textId="77777777" w:rsidR="003C3F7B" w:rsidRDefault="00000000">
      <w:pPr>
        <w:spacing w:before="40" w:after="40"/>
        <w:ind w:left="360" w:hanging="360"/>
        <w:jc w:val="both"/>
      </w:pPr>
      <w:r>
        <w:rPr>
          <w:color w:val="222222"/>
          <w:sz w:val="20"/>
          <w:szCs w:val="20"/>
        </w:rPr>
        <w:t xml:space="preserve">19. </w:t>
      </w:r>
      <w:proofErr w:type="spellStart"/>
      <w:r>
        <w:rPr>
          <w:color w:val="222222"/>
          <w:sz w:val="20"/>
          <w:szCs w:val="20"/>
        </w:rPr>
        <w:t>Panagiotelis</w:t>
      </w:r>
      <w:proofErr w:type="spellEnd"/>
      <w:r>
        <w:rPr>
          <w:color w:val="222222"/>
          <w:sz w:val="20"/>
          <w:szCs w:val="20"/>
        </w:rPr>
        <w:t xml:space="preserve">, A.; </w:t>
      </w:r>
      <w:proofErr w:type="spellStart"/>
      <w:r>
        <w:rPr>
          <w:color w:val="222222"/>
          <w:sz w:val="20"/>
          <w:szCs w:val="20"/>
        </w:rPr>
        <w:t>Gamakumara</w:t>
      </w:r>
      <w:proofErr w:type="spellEnd"/>
      <w:r>
        <w:rPr>
          <w:color w:val="222222"/>
          <w:sz w:val="20"/>
          <w:szCs w:val="20"/>
        </w:rPr>
        <w:t xml:space="preserve">, P.; Athanasopoulos, G.; Hyndman, R.J. Probabilistic forecast reconciliation: Properties, evaluation and score </w:t>
      </w:r>
      <w:proofErr w:type="spellStart"/>
      <w:r>
        <w:rPr>
          <w:color w:val="222222"/>
          <w:sz w:val="20"/>
          <w:szCs w:val="20"/>
        </w:rPr>
        <w:t>optimisation</w:t>
      </w:r>
      <w:proofErr w:type="spellEnd"/>
      <w:r>
        <w:rPr>
          <w:color w:val="222222"/>
          <w:sz w:val="20"/>
          <w:szCs w:val="20"/>
        </w:rPr>
        <w:t>. Eur. J. Oper. Res. 2023, 306, 693–706.</w:t>
      </w:r>
    </w:p>
    <w:p w14:paraId="769FBC6E" w14:textId="77777777" w:rsidR="003C3F7B" w:rsidRDefault="00000000">
      <w:pPr>
        <w:spacing w:before="40" w:after="40"/>
        <w:ind w:left="360" w:hanging="360"/>
        <w:jc w:val="both"/>
      </w:pPr>
      <w:r>
        <w:rPr>
          <w:color w:val="222222"/>
          <w:sz w:val="20"/>
          <w:szCs w:val="20"/>
        </w:rPr>
        <w:t xml:space="preserve">20. </w:t>
      </w:r>
      <w:proofErr w:type="spellStart"/>
      <w:r>
        <w:rPr>
          <w:color w:val="222222"/>
          <w:sz w:val="20"/>
          <w:szCs w:val="20"/>
        </w:rPr>
        <w:t>Rangapuram</w:t>
      </w:r>
      <w:proofErr w:type="spellEnd"/>
      <w:r>
        <w:rPr>
          <w:color w:val="222222"/>
          <w:sz w:val="20"/>
          <w:szCs w:val="20"/>
        </w:rPr>
        <w:t xml:space="preserve">, S.S.; de </w:t>
      </w:r>
      <w:proofErr w:type="spellStart"/>
      <w:r>
        <w:rPr>
          <w:color w:val="222222"/>
          <w:sz w:val="20"/>
          <w:szCs w:val="20"/>
        </w:rPr>
        <w:t>Bezenac</w:t>
      </w:r>
      <w:proofErr w:type="spellEnd"/>
      <w:r>
        <w:rPr>
          <w:color w:val="222222"/>
          <w:sz w:val="20"/>
          <w:szCs w:val="20"/>
        </w:rPr>
        <w:t xml:space="preserve">, E.; </w:t>
      </w:r>
      <w:proofErr w:type="spellStart"/>
      <w:r>
        <w:rPr>
          <w:color w:val="222222"/>
          <w:sz w:val="20"/>
          <w:szCs w:val="20"/>
        </w:rPr>
        <w:t>Benidis</w:t>
      </w:r>
      <w:proofErr w:type="spellEnd"/>
      <w:r>
        <w:rPr>
          <w:color w:val="222222"/>
          <w:sz w:val="20"/>
          <w:szCs w:val="20"/>
        </w:rPr>
        <w:t>, K.; Seeger, M.W.; Januschowski, T. End-to-end learning of coherent probabilistic forecasts for hierarchical time series. In Proceedings of the 38th International Conference on Machine Learning (ICML), Virtual, 18–24 July 2021; pp. 8832–8843.</w:t>
      </w:r>
    </w:p>
    <w:p w14:paraId="690CC850" w14:textId="77777777" w:rsidR="003C3F7B" w:rsidRDefault="00000000">
      <w:pPr>
        <w:spacing w:before="40" w:after="40"/>
        <w:ind w:left="360" w:hanging="360"/>
        <w:jc w:val="both"/>
      </w:pPr>
      <w:r>
        <w:rPr>
          <w:color w:val="222222"/>
          <w:sz w:val="20"/>
          <w:szCs w:val="20"/>
        </w:rPr>
        <w:t xml:space="preserve">21. Olivares, K.G.; Garza, F.; Luo, D.; </w:t>
      </w:r>
      <w:proofErr w:type="spellStart"/>
      <w:r>
        <w:rPr>
          <w:color w:val="222222"/>
          <w:sz w:val="20"/>
          <w:szCs w:val="20"/>
        </w:rPr>
        <w:t>Challú</w:t>
      </w:r>
      <w:proofErr w:type="spellEnd"/>
      <w:r>
        <w:rPr>
          <w:color w:val="222222"/>
          <w:sz w:val="20"/>
          <w:szCs w:val="20"/>
        </w:rPr>
        <w:t xml:space="preserve">, C.; Mergenthaler-Canseco, M.; </w:t>
      </w:r>
      <w:proofErr w:type="spellStart"/>
      <w:r>
        <w:rPr>
          <w:color w:val="222222"/>
          <w:sz w:val="20"/>
          <w:szCs w:val="20"/>
        </w:rPr>
        <w:t>Dubrawski</w:t>
      </w:r>
      <w:proofErr w:type="spellEnd"/>
      <w:r>
        <w:rPr>
          <w:color w:val="222222"/>
          <w:sz w:val="20"/>
          <w:szCs w:val="20"/>
        </w:rPr>
        <w:t xml:space="preserve">, A. </w:t>
      </w:r>
      <w:proofErr w:type="spellStart"/>
      <w:r>
        <w:rPr>
          <w:color w:val="222222"/>
          <w:sz w:val="20"/>
          <w:szCs w:val="20"/>
        </w:rPr>
        <w:t>HierarchicalForecast</w:t>
      </w:r>
      <w:proofErr w:type="spellEnd"/>
      <w:r>
        <w:rPr>
          <w:color w:val="222222"/>
          <w:sz w:val="20"/>
          <w:szCs w:val="20"/>
        </w:rPr>
        <w:t>: A reference framework for hierarchical forecasting in Python. J. Mach. Learn. Res. 2023, 24, 1–8.</w:t>
      </w:r>
    </w:p>
    <w:p w14:paraId="2A6D84BF" w14:textId="77777777" w:rsidR="003C3F7B" w:rsidRDefault="00000000">
      <w:pPr>
        <w:spacing w:before="40" w:after="40"/>
        <w:ind w:left="360" w:hanging="360"/>
        <w:jc w:val="both"/>
      </w:pPr>
      <w:r>
        <w:rPr>
          <w:color w:val="222222"/>
          <w:sz w:val="20"/>
          <w:szCs w:val="20"/>
        </w:rPr>
        <w:t>22. Fildes, R.; Ma, S.; Kolassa, S. Retail forecasting: Research and practice. Int. J. Forecast. 2022, 38, 1283–1318.</w:t>
      </w:r>
    </w:p>
    <w:p w14:paraId="468A6B81" w14:textId="77777777" w:rsidR="003C3F7B" w:rsidRDefault="00000000">
      <w:pPr>
        <w:spacing w:before="40" w:after="40"/>
        <w:ind w:left="360" w:hanging="360"/>
        <w:jc w:val="both"/>
      </w:pPr>
      <w:r>
        <w:rPr>
          <w:color w:val="222222"/>
          <w:sz w:val="20"/>
          <w:szCs w:val="20"/>
        </w:rPr>
        <w:t xml:space="preserve">23. </w:t>
      </w:r>
      <w:proofErr w:type="spellStart"/>
      <w:r>
        <w:rPr>
          <w:color w:val="222222"/>
          <w:sz w:val="20"/>
          <w:szCs w:val="20"/>
        </w:rPr>
        <w:t>Makridakis</w:t>
      </w:r>
      <w:proofErr w:type="spellEnd"/>
      <w:r>
        <w:rPr>
          <w:color w:val="222222"/>
          <w:sz w:val="20"/>
          <w:szCs w:val="20"/>
        </w:rPr>
        <w:t xml:space="preserve">, S.; Spiliotis, E.; </w:t>
      </w:r>
      <w:proofErr w:type="spellStart"/>
      <w:r>
        <w:rPr>
          <w:color w:val="222222"/>
          <w:sz w:val="20"/>
          <w:szCs w:val="20"/>
        </w:rPr>
        <w:t>Assimakopoulos</w:t>
      </w:r>
      <w:proofErr w:type="spellEnd"/>
      <w:r>
        <w:rPr>
          <w:color w:val="222222"/>
          <w:sz w:val="20"/>
          <w:szCs w:val="20"/>
        </w:rPr>
        <w:t>, V. The M4 competition: Results, findings, conclusion and way forward. Int. J. Forecast. 2018, 34, 802–808.</w:t>
      </w:r>
    </w:p>
    <w:p w14:paraId="474AFEB7" w14:textId="77777777" w:rsidR="003C3F7B" w:rsidRDefault="00000000">
      <w:pPr>
        <w:spacing w:before="40" w:after="40"/>
        <w:ind w:left="360" w:hanging="360"/>
        <w:jc w:val="both"/>
      </w:pPr>
      <w:r>
        <w:rPr>
          <w:color w:val="222222"/>
          <w:sz w:val="20"/>
          <w:szCs w:val="20"/>
        </w:rPr>
        <w:t xml:space="preserve">24. </w:t>
      </w:r>
      <w:proofErr w:type="spellStart"/>
      <w:r>
        <w:rPr>
          <w:color w:val="222222"/>
          <w:sz w:val="20"/>
          <w:szCs w:val="20"/>
        </w:rPr>
        <w:t>Makridakis</w:t>
      </w:r>
      <w:proofErr w:type="spellEnd"/>
      <w:r>
        <w:rPr>
          <w:color w:val="222222"/>
          <w:sz w:val="20"/>
          <w:szCs w:val="20"/>
        </w:rPr>
        <w:t xml:space="preserve">, S.; Spiliotis, E.; </w:t>
      </w:r>
      <w:proofErr w:type="spellStart"/>
      <w:r>
        <w:rPr>
          <w:color w:val="222222"/>
          <w:sz w:val="20"/>
          <w:szCs w:val="20"/>
        </w:rPr>
        <w:t>Assimakopoulos</w:t>
      </w:r>
      <w:proofErr w:type="spellEnd"/>
      <w:r>
        <w:rPr>
          <w:color w:val="222222"/>
          <w:sz w:val="20"/>
          <w:szCs w:val="20"/>
        </w:rPr>
        <w:t>, V. M5 accuracy competition: Results, findings, and conclusions. Int. J. Forecast. 2022, 38, 1346–1364.</w:t>
      </w:r>
    </w:p>
    <w:p w14:paraId="231A9DEE" w14:textId="77777777" w:rsidR="003C3F7B" w:rsidRDefault="00000000">
      <w:pPr>
        <w:spacing w:before="40" w:after="40"/>
        <w:ind w:left="360" w:hanging="360"/>
        <w:jc w:val="both"/>
      </w:pPr>
      <w:r>
        <w:rPr>
          <w:color w:val="222222"/>
          <w:sz w:val="20"/>
          <w:szCs w:val="20"/>
        </w:rPr>
        <w:t xml:space="preserve">25. Januschowski, T.; </w:t>
      </w:r>
      <w:proofErr w:type="spellStart"/>
      <w:r>
        <w:rPr>
          <w:color w:val="222222"/>
          <w:sz w:val="20"/>
          <w:szCs w:val="20"/>
        </w:rPr>
        <w:t>Gasthaus</w:t>
      </w:r>
      <w:proofErr w:type="spellEnd"/>
      <w:r>
        <w:rPr>
          <w:color w:val="222222"/>
          <w:sz w:val="20"/>
          <w:szCs w:val="20"/>
        </w:rPr>
        <w:t xml:space="preserve">, J.; Wang, Y.; Salinas, D.; </w:t>
      </w:r>
      <w:proofErr w:type="spellStart"/>
      <w:r>
        <w:rPr>
          <w:color w:val="222222"/>
          <w:sz w:val="20"/>
          <w:szCs w:val="20"/>
        </w:rPr>
        <w:t>Flunkert</w:t>
      </w:r>
      <w:proofErr w:type="spellEnd"/>
      <w:r>
        <w:rPr>
          <w:color w:val="222222"/>
          <w:sz w:val="20"/>
          <w:szCs w:val="20"/>
        </w:rPr>
        <w:t>, V.; Bohlke-Schneider, M.; Callot, L. Criteria for classifying forecasting methods. Int. J. Forecast. 2020, 36, 167–177.</w:t>
      </w:r>
    </w:p>
    <w:p w14:paraId="4F297912" w14:textId="77777777" w:rsidR="003C3F7B" w:rsidRDefault="00000000">
      <w:pPr>
        <w:spacing w:before="40" w:after="40"/>
        <w:ind w:left="360" w:hanging="360"/>
        <w:jc w:val="both"/>
      </w:pPr>
      <w:r>
        <w:rPr>
          <w:color w:val="222222"/>
          <w:sz w:val="20"/>
          <w:szCs w:val="20"/>
        </w:rPr>
        <w:t>26. Ma, S.; Fildes, R.; Huang, T. Demand forecasting with high dimensional data: The case of SKU retail sales forecasting with intra- and inter-category promotional information. Eur. J. Oper. Res. 2016, 249, 245–257.</w:t>
      </w:r>
    </w:p>
    <w:p w14:paraId="05167791" w14:textId="77777777" w:rsidR="003C3F7B" w:rsidRDefault="00000000">
      <w:pPr>
        <w:spacing w:before="40" w:after="40"/>
        <w:ind w:left="360" w:hanging="360"/>
        <w:jc w:val="both"/>
      </w:pPr>
      <w:r>
        <w:rPr>
          <w:color w:val="222222"/>
          <w:sz w:val="20"/>
          <w:szCs w:val="20"/>
        </w:rPr>
        <w:t xml:space="preserve">27. Spiliotis, E.; Athanasopoulos, G.; Hyndman, R.J.; </w:t>
      </w:r>
      <w:proofErr w:type="spellStart"/>
      <w:r>
        <w:rPr>
          <w:color w:val="222222"/>
          <w:sz w:val="20"/>
          <w:szCs w:val="20"/>
        </w:rPr>
        <w:t>Assimakopoulos</w:t>
      </w:r>
      <w:proofErr w:type="spellEnd"/>
      <w:r>
        <w:rPr>
          <w:color w:val="222222"/>
          <w:sz w:val="20"/>
          <w:szCs w:val="20"/>
        </w:rPr>
        <w:t xml:space="preserve">, V. Hierarchical forecast reconciliation with machine learning. Appl. Soft </w:t>
      </w:r>
      <w:proofErr w:type="spellStart"/>
      <w:r>
        <w:rPr>
          <w:color w:val="222222"/>
          <w:sz w:val="20"/>
          <w:szCs w:val="20"/>
        </w:rPr>
        <w:t>Comput</w:t>
      </w:r>
      <w:proofErr w:type="spellEnd"/>
      <w:r>
        <w:rPr>
          <w:color w:val="222222"/>
          <w:sz w:val="20"/>
          <w:szCs w:val="20"/>
        </w:rPr>
        <w:t>. 2021, 112, 107756.</w:t>
      </w:r>
    </w:p>
    <w:p w14:paraId="49F5A8DA" w14:textId="77777777" w:rsidR="003C3F7B" w:rsidRDefault="00000000">
      <w:pPr>
        <w:spacing w:before="40" w:after="40"/>
        <w:ind w:left="360" w:hanging="360"/>
        <w:jc w:val="both"/>
      </w:pPr>
      <w:r>
        <w:rPr>
          <w:color w:val="222222"/>
          <w:sz w:val="20"/>
          <w:szCs w:val="20"/>
        </w:rPr>
        <w:t>28. Diebold, F.X.; Mariano, R.S. Comparing predictive accuracy. J. Bus. Econ. Stat. 1995, 13, 253–263.</w:t>
      </w:r>
    </w:p>
    <w:p w14:paraId="705B8F5B" w14:textId="77777777" w:rsidR="003C3F7B" w:rsidRDefault="00000000">
      <w:pPr>
        <w:spacing w:before="40" w:after="40"/>
        <w:ind w:left="360" w:hanging="360"/>
        <w:jc w:val="both"/>
      </w:pPr>
      <w:r>
        <w:rPr>
          <w:color w:val="222222"/>
          <w:sz w:val="20"/>
          <w:szCs w:val="20"/>
        </w:rPr>
        <w:t>29. Harvey, D.; Leybourne, S.; Newbold, P. Testing the equality of prediction mean squared errors. Int. J. Forecast. 1997, 13, 281–291.</w:t>
      </w:r>
    </w:p>
    <w:p w14:paraId="03977FF0" w14:textId="77777777" w:rsidR="003C3F7B" w:rsidRDefault="00000000">
      <w:pPr>
        <w:spacing w:before="40" w:after="40"/>
        <w:ind w:left="360" w:hanging="360"/>
        <w:jc w:val="both"/>
      </w:pPr>
      <w:r>
        <w:rPr>
          <w:color w:val="222222"/>
          <w:sz w:val="20"/>
          <w:szCs w:val="20"/>
        </w:rPr>
        <w:t xml:space="preserve">30. West, K.D. Asymptotic inference about predictive ability. </w:t>
      </w:r>
      <w:proofErr w:type="spellStart"/>
      <w:r>
        <w:rPr>
          <w:color w:val="222222"/>
          <w:sz w:val="20"/>
          <w:szCs w:val="20"/>
        </w:rPr>
        <w:t>Econometrica</w:t>
      </w:r>
      <w:proofErr w:type="spellEnd"/>
      <w:r>
        <w:rPr>
          <w:color w:val="222222"/>
          <w:sz w:val="20"/>
          <w:szCs w:val="20"/>
        </w:rPr>
        <w:t xml:space="preserve"> 1996, 64, 1067–1084.</w:t>
      </w:r>
    </w:p>
    <w:p w14:paraId="6613C0A0" w14:textId="77777777" w:rsidR="003C3F7B" w:rsidRDefault="00000000">
      <w:pPr>
        <w:spacing w:before="40" w:after="40"/>
        <w:ind w:left="360" w:hanging="360"/>
        <w:jc w:val="both"/>
      </w:pPr>
      <w:r>
        <w:rPr>
          <w:color w:val="222222"/>
          <w:sz w:val="20"/>
          <w:szCs w:val="20"/>
        </w:rPr>
        <w:t xml:space="preserve">31. Giacomini, R.; White, H. Tests of conditional predictive ability. </w:t>
      </w:r>
      <w:proofErr w:type="spellStart"/>
      <w:r>
        <w:rPr>
          <w:color w:val="222222"/>
          <w:sz w:val="20"/>
          <w:szCs w:val="20"/>
        </w:rPr>
        <w:t>Econometrica</w:t>
      </w:r>
      <w:proofErr w:type="spellEnd"/>
      <w:r>
        <w:rPr>
          <w:color w:val="222222"/>
          <w:sz w:val="20"/>
          <w:szCs w:val="20"/>
        </w:rPr>
        <w:t xml:space="preserve"> 2006, 74, 1545–1578.</w:t>
      </w:r>
    </w:p>
    <w:p w14:paraId="1ED19AEF" w14:textId="77777777" w:rsidR="003C3F7B" w:rsidRDefault="00000000">
      <w:pPr>
        <w:spacing w:before="40" w:after="40"/>
        <w:ind w:left="360" w:hanging="360"/>
        <w:jc w:val="both"/>
      </w:pPr>
      <w:r>
        <w:rPr>
          <w:color w:val="222222"/>
          <w:sz w:val="20"/>
          <w:szCs w:val="20"/>
        </w:rPr>
        <w:t>32. Friedman, J.H. Greedy function approximation: A gradient boosting machine. Ann. Stat. 2001, 29, 1189–1232.</w:t>
      </w:r>
    </w:p>
    <w:p w14:paraId="6A31905F" w14:textId="77777777" w:rsidR="003C3F7B" w:rsidRDefault="00000000">
      <w:pPr>
        <w:spacing w:before="40" w:after="40"/>
        <w:ind w:left="360" w:hanging="360"/>
        <w:jc w:val="both"/>
      </w:pPr>
      <w:r>
        <w:rPr>
          <w:color w:val="222222"/>
          <w:sz w:val="20"/>
          <w:szCs w:val="20"/>
        </w:rPr>
        <w:t xml:space="preserve">33. Pedregosa, F.; </w:t>
      </w:r>
      <w:proofErr w:type="spellStart"/>
      <w:r>
        <w:rPr>
          <w:color w:val="222222"/>
          <w:sz w:val="20"/>
          <w:szCs w:val="20"/>
        </w:rPr>
        <w:t>Varoquaux</w:t>
      </w:r>
      <w:proofErr w:type="spellEnd"/>
      <w:r>
        <w:rPr>
          <w:color w:val="222222"/>
          <w:sz w:val="20"/>
          <w:szCs w:val="20"/>
        </w:rPr>
        <w:t xml:space="preserve">, G.; </w:t>
      </w:r>
      <w:proofErr w:type="spellStart"/>
      <w:r>
        <w:rPr>
          <w:color w:val="222222"/>
          <w:sz w:val="20"/>
          <w:szCs w:val="20"/>
        </w:rPr>
        <w:t>Gramfort</w:t>
      </w:r>
      <w:proofErr w:type="spellEnd"/>
      <w:r>
        <w:rPr>
          <w:color w:val="222222"/>
          <w:sz w:val="20"/>
          <w:szCs w:val="20"/>
        </w:rPr>
        <w:t>, A.; Michel, V.; Thirion, B.; Grisel, O.; Duchesnay, E. Scikit-learn: Machine learning in Python. J. Mach. Learn. Res. 2011, 12, 2825–2830.</w:t>
      </w:r>
    </w:p>
    <w:p w14:paraId="0A7C8CA5" w14:textId="77777777" w:rsidR="003C3F7B" w:rsidRDefault="00000000">
      <w:pPr>
        <w:spacing w:before="40" w:after="40"/>
        <w:ind w:left="360" w:hanging="360"/>
        <w:jc w:val="both"/>
      </w:pPr>
      <w:r>
        <w:rPr>
          <w:color w:val="222222"/>
          <w:sz w:val="20"/>
          <w:szCs w:val="20"/>
        </w:rPr>
        <w:t xml:space="preserve">34. </w:t>
      </w:r>
      <w:proofErr w:type="spellStart"/>
      <w:r>
        <w:rPr>
          <w:color w:val="222222"/>
          <w:sz w:val="20"/>
          <w:szCs w:val="20"/>
        </w:rPr>
        <w:t>Ledoit</w:t>
      </w:r>
      <w:proofErr w:type="spellEnd"/>
      <w:r>
        <w:rPr>
          <w:color w:val="222222"/>
          <w:sz w:val="20"/>
          <w:szCs w:val="20"/>
        </w:rPr>
        <w:t xml:space="preserve">, O.; Wolf, M. A well-conditioned estimator for large-dimensional covariance matrices. J. </w:t>
      </w:r>
      <w:proofErr w:type="spellStart"/>
      <w:r>
        <w:rPr>
          <w:color w:val="222222"/>
          <w:sz w:val="20"/>
          <w:szCs w:val="20"/>
        </w:rPr>
        <w:t>Multivar</w:t>
      </w:r>
      <w:proofErr w:type="spellEnd"/>
      <w:r>
        <w:rPr>
          <w:color w:val="222222"/>
          <w:sz w:val="20"/>
          <w:szCs w:val="20"/>
        </w:rPr>
        <w:t>. Anal. 2004, 88, 365–411.</w:t>
      </w:r>
    </w:p>
    <w:p w14:paraId="672C3A48" w14:textId="77777777" w:rsidR="003C3F7B" w:rsidRDefault="00000000">
      <w:pPr>
        <w:spacing w:before="40" w:after="40"/>
        <w:ind w:left="360" w:hanging="360"/>
        <w:jc w:val="both"/>
      </w:pPr>
      <w:r>
        <w:rPr>
          <w:color w:val="222222"/>
          <w:sz w:val="20"/>
          <w:szCs w:val="20"/>
        </w:rPr>
        <w:t xml:space="preserve">35. Newey, W.K.; West, K.D. A simple, positive semi-definite, heteroskedasticity and autocorrelation consistent covariance matrix. </w:t>
      </w:r>
      <w:proofErr w:type="spellStart"/>
      <w:r>
        <w:rPr>
          <w:color w:val="222222"/>
          <w:sz w:val="20"/>
          <w:szCs w:val="20"/>
        </w:rPr>
        <w:t>Econometrica</w:t>
      </w:r>
      <w:proofErr w:type="spellEnd"/>
      <w:r>
        <w:rPr>
          <w:color w:val="222222"/>
          <w:sz w:val="20"/>
          <w:szCs w:val="20"/>
        </w:rPr>
        <w:t xml:space="preserve"> 1987, 55, 703–708.</w:t>
      </w:r>
    </w:p>
    <w:p w14:paraId="26C4B9AB" w14:textId="77777777" w:rsidR="003C3F7B" w:rsidRDefault="00000000">
      <w:pPr>
        <w:spacing w:before="40" w:after="40"/>
        <w:ind w:left="360" w:hanging="360"/>
        <w:jc w:val="both"/>
      </w:pPr>
      <w:r>
        <w:rPr>
          <w:color w:val="222222"/>
          <w:sz w:val="20"/>
          <w:szCs w:val="20"/>
        </w:rPr>
        <w:t>36. Silver, E.A.; Pyke, D.F.; Thomas, D.J. Inventory and Production Management in Supply Chains, 4th ed.; CRC Press: Boca Raton, FL, USA, 2017.</w:t>
      </w:r>
    </w:p>
    <w:p w14:paraId="6413A2F8" w14:textId="77777777" w:rsidR="003C3F7B" w:rsidRDefault="00000000">
      <w:pPr>
        <w:spacing w:before="40" w:after="40"/>
        <w:ind w:left="360" w:hanging="360"/>
        <w:jc w:val="both"/>
      </w:pPr>
      <w:r>
        <w:rPr>
          <w:color w:val="222222"/>
          <w:sz w:val="20"/>
          <w:szCs w:val="20"/>
        </w:rPr>
        <w:t xml:space="preserve">37. </w:t>
      </w:r>
      <w:proofErr w:type="spellStart"/>
      <w:r>
        <w:rPr>
          <w:color w:val="222222"/>
          <w:sz w:val="20"/>
          <w:szCs w:val="20"/>
        </w:rPr>
        <w:t>Oreshkin</w:t>
      </w:r>
      <w:proofErr w:type="spellEnd"/>
      <w:r>
        <w:rPr>
          <w:color w:val="222222"/>
          <w:sz w:val="20"/>
          <w:szCs w:val="20"/>
        </w:rPr>
        <w:t xml:space="preserve">, B.N.; </w:t>
      </w:r>
      <w:proofErr w:type="spellStart"/>
      <w:r>
        <w:rPr>
          <w:color w:val="222222"/>
          <w:sz w:val="20"/>
          <w:szCs w:val="20"/>
        </w:rPr>
        <w:t>Carpov</w:t>
      </w:r>
      <w:proofErr w:type="spellEnd"/>
      <w:r>
        <w:rPr>
          <w:color w:val="222222"/>
          <w:sz w:val="20"/>
          <w:szCs w:val="20"/>
        </w:rPr>
        <w:t xml:space="preserve">, D.; </w:t>
      </w:r>
      <w:proofErr w:type="spellStart"/>
      <w:r>
        <w:rPr>
          <w:color w:val="222222"/>
          <w:sz w:val="20"/>
          <w:szCs w:val="20"/>
        </w:rPr>
        <w:t>Chapados</w:t>
      </w:r>
      <w:proofErr w:type="spellEnd"/>
      <w:r>
        <w:rPr>
          <w:color w:val="222222"/>
          <w:sz w:val="20"/>
          <w:szCs w:val="20"/>
        </w:rPr>
        <w:t>, N.; Bengio, Y. N-BEATS: Neural basis expansion analysis for interpretable time series forecasting. In Proceedings of the 8th International Conference on Learning Representations (ICLR), Addis Ababa, Ethiopia, 26–30 April 2020.</w:t>
      </w:r>
    </w:p>
    <w:p w14:paraId="605FF9BB" w14:textId="77777777" w:rsidR="003C3F7B" w:rsidRDefault="00000000">
      <w:pPr>
        <w:spacing w:before="40" w:after="40"/>
        <w:ind w:left="360" w:hanging="360"/>
        <w:jc w:val="both"/>
      </w:pPr>
      <w:r>
        <w:rPr>
          <w:color w:val="222222"/>
          <w:sz w:val="20"/>
          <w:szCs w:val="20"/>
        </w:rPr>
        <w:t xml:space="preserve">38. Lim, B.; Arik, S.O.; </w:t>
      </w:r>
      <w:proofErr w:type="spellStart"/>
      <w:r>
        <w:rPr>
          <w:color w:val="222222"/>
          <w:sz w:val="20"/>
          <w:szCs w:val="20"/>
        </w:rPr>
        <w:t>Loeff</w:t>
      </w:r>
      <w:proofErr w:type="spellEnd"/>
      <w:r>
        <w:rPr>
          <w:color w:val="222222"/>
          <w:sz w:val="20"/>
          <w:szCs w:val="20"/>
        </w:rPr>
        <w:t>, N.; Pfister, T. Temporal fusion transformers for interpretable multi-horizon time series forecasting. Int. J. Forecast. 2021, 37, 1748–1764.</w:t>
      </w:r>
    </w:p>
    <w:p w14:paraId="5CFC5B84" w14:textId="77777777" w:rsidR="003C3F7B" w:rsidRDefault="00000000">
      <w:pPr>
        <w:spacing w:before="40" w:after="40"/>
        <w:ind w:left="360" w:hanging="360"/>
        <w:jc w:val="both"/>
      </w:pPr>
      <w:r>
        <w:rPr>
          <w:color w:val="222222"/>
          <w:sz w:val="20"/>
          <w:szCs w:val="20"/>
        </w:rPr>
        <w:t xml:space="preserve">39. Jeon, J.; </w:t>
      </w:r>
      <w:proofErr w:type="spellStart"/>
      <w:r>
        <w:rPr>
          <w:color w:val="222222"/>
          <w:sz w:val="20"/>
          <w:szCs w:val="20"/>
        </w:rPr>
        <w:t>Panagiotelis</w:t>
      </w:r>
      <w:proofErr w:type="spellEnd"/>
      <w:r>
        <w:rPr>
          <w:color w:val="222222"/>
          <w:sz w:val="20"/>
          <w:szCs w:val="20"/>
        </w:rPr>
        <w:t>, A.; Petropoulos, F. Probabilistic forecast reconciliation with applications to wind power and electric load. Eur. J. Oper. Res. 2019, 279, 364–379.</w:t>
      </w:r>
    </w:p>
    <w:sectPr w:rsidR="003C3F7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C264DC"/>
    <w:multiLevelType w:val="hybridMultilevel"/>
    <w:tmpl w:val="18467886"/>
    <w:lvl w:ilvl="0" w:tplc="3EEC59E2">
      <w:start w:val="1"/>
      <w:numFmt w:val="bullet"/>
      <w:lvlText w:val="•"/>
      <w:lvlJc w:val="left"/>
      <w:pPr>
        <w:ind w:left="500" w:hanging="250"/>
      </w:pPr>
    </w:lvl>
    <w:lvl w:ilvl="1" w:tplc="921CDA72">
      <w:numFmt w:val="decimal"/>
      <w:lvlText w:val=""/>
      <w:lvlJc w:val="left"/>
    </w:lvl>
    <w:lvl w:ilvl="2" w:tplc="ED5A55EA">
      <w:numFmt w:val="decimal"/>
      <w:lvlText w:val=""/>
      <w:lvlJc w:val="left"/>
    </w:lvl>
    <w:lvl w:ilvl="3" w:tplc="7F0A01E2">
      <w:numFmt w:val="decimal"/>
      <w:lvlText w:val=""/>
      <w:lvlJc w:val="left"/>
    </w:lvl>
    <w:lvl w:ilvl="4" w:tplc="AD983AF8">
      <w:numFmt w:val="decimal"/>
      <w:lvlText w:val=""/>
      <w:lvlJc w:val="left"/>
    </w:lvl>
    <w:lvl w:ilvl="5" w:tplc="9142F40A">
      <w:numFmt w:val="decimal"/>
      <w:lvlText w:val=""/>
      <w:lvlJc w:val="left"/>
    </w:lvl>
    <w:lvl w:ilvl="6" w:tplc="D9C4D424">
      <w:numFmt w:val="decimal"/>
      <w:lvlText w:val=""/>
      <w:lvlJc w:val="left"/>
    </w:lvl>
    <w:lvl w:ilvl="7" w:tplc="EB908FEC">
      <w:numFmt w:val="decimal"/>
      <w:lvlText w:val=""/>
      <w:lvlJc w:val="left"/>
    </w:lvl>
    <w:lvl w:ilvl="8" w:tplc="E6C6D36C">
      <w:numFmt w:val="decimal"/>
      <w:lvlText w:val=""/>
      <w:lvlJc w:val="left"/>
    </w:lvl>
  </w:abstractNum>
  <w:abstractNum w:abstractNumId="1" w15:restartNumberingAfterBreak="0">
    <w:nsid w:val="772940DF"/>
    <w:multiLevelType w:val="hybridMultilevel"/>
    <w:tmpl w:val="9A8EE91C"/>
    <w:lvl w:ilvl="0" w:tplc="698C7BC6">
      <w:start w:val="1"/>
      <w:numFmt w:val="bullet"/>
      <w:lvlText w:val="●"/>
      <w:lvlJc w:val="left"/>
      <w:pPr>
        <w:ind w:left="720" w:hanging="360"/>
      </w:pPr>
    </w:lvl>
    <w:lvl w:ilvl="1" w:tplc="B9D47374">
      <w:start w:val="1"/>
      <w:numFmt w:val="bullet"/>
      <w:lvlText w:val="○"/>
      <w:lvlJc w:val="left"/>
      <w:pPr>
        <w:ind w:left="1440" w:hanging="360"/>
      </w:pPr>
    </w:lvl>
    <w:lvl w:ilvl="2" w:tplc="8B64FF5E">
      <w:start w:val="1"/>
      <w:numFmt w:val="bullet"/>
      <w:lvlText w:val="■"/>
      <w:lvlJc w:val="left"/>
      <w:pPr>
        <w:ind w:left="2160" w:hanging="360"/>
      </w:pPr>
    </w:lvl>
    <w:lvl w:ilvl="3" w:tplc="6CAEBFC2">
      <w:start w:val="1"/>
      <w:numFmt w:val="bullet"/>
      <w:lvlText w:val="●"/>
      <w:lvlJc w:val="left"/>
      <w:pPr>
        <w:ind w:left="2880" w:hanging="360"/>
      </w:pPr>
    </w:lvl>
    <w:lvl w:ilvl="4" w:tplc="23EECFE8">
      <w:start w:val="1"/>
      <w:numFmt w:val="bullet"/>
      <w:lvlText w:val="○"/>
      <w:lvlJc w:val="left"/>
      <w:pPr>
        <w:ind w:left="3600" w:hanging="360"/>
      </w:pPr>
    </w:lvl>
    <w:lvl w:ilvl="5" w:tplc="7B0E36C0">
      <w:start w:val="1"/>
      <w:numFmt w:val="bullet"/>
      <w:lvlText w:val="■"/>
      <w:lvlJc w:val="left"/>
      <w:pPr>
        <w:ind w:left="4320" w:hanging="360"/>
      </w:pPr>
    </w:lvl>
    <w:lvl w:ilvl="6" w:tplc="DC96086A">
      <w:start w:val="1"/>
      <w:numFmt w:val="bullet"/>
      <w:lvlText w:val="●"/>
      <w:lvlJc w:val="left"/>
      <w:pPr>
        <w:ind w:left="5040" w:hanging="360"/>
      </w:pPr>
    </w:lvl>
    <w:lvl w:ilvl="7" w:tplc="429CD71E">
      <w:start w:val="1"/>
      <w:numFmt w:val="bullet"/>
      <w:lvlText w:val="●"/>
      <w:lvlJc w:val="left"/>
      <w:pPr>
        <w:ind w:left="5760" w:hanging="360"/>
      </w:pPr>
    </w:lvl>
    <w:lvl w:ilvl="8" w:tplc="48984504">
      <w:start w:val="1"/>
      <w:numFmt w:val="bullet"/>
      <w:lvlText w:val="●"/>
      <w:lvlJc w:val="left"/>
      <w:pPr>
        <w:ind w:left="6480" w:hanging="360"/>
      </w:pPr>
    </w:lvl>
  </w:abstractNum>
  <w:num w:numId="1" w16cid:durableId="117630635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F7B"/>
    <w:rsid w:val="002921AD"/>
    <w:rsid w:val="003C3F7B"/>
    <w:rsid w:val="007C4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680A2"/>
  <w15:docId w15:val="{02B4B5AD-376B-43DB-ACED-D607A0B39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292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mailto:rohanovro756@gmail.com"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5213</Words>
  <Characters>29717</Characters>
  <Application>Microsoft Office Word</Application>
  <DocSecurity>0</DocSecurity>
  <Lines>247</Lines>
  <Paragraphs>69</Paragraphs>
  <ScaleCrop>false</ScaleCrop>
  <Company/>
  <LinksUpToDate>false</LinksUpToDate>
  <CharactersWithSpaces>34861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Rohan Ovro</cp:lastModifiedBy>
  <cp:revision>2</cp:revision>
  <dcterms:created xsi:type="dcterms:W3CDTF">2026-03-28T19:20:00Z</dcterms:created>
  <dcterms:modified xsi:type="dcterms:W3CDTF">2026-03-28T19:20:00Z</dcterms:modified>
</cp:coreProperties>
</file>