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E220" w14:textId="34917B8B" w:rsidR="00276588" w:rsidRDefault="00276588" w:rsidP="00DF2DB4">
      <w:pPr>
        <w:spacing w:after="240"/>
        <w:rPr>
          <w:b/>
          <w:bCs/>
          <w:sz w:val="32"/>
          <w:szCs w:val="32"/>
        </w:rPr>
      </w:pPr>
      <w:r w:rsidRPr="00276588">
        <w:rPr>
          <w:b/>
          <w:bCs/>
          <w:sz w:val="32"/>
          <w:szCs w:val="32"/>
        </w:rPr>
        <w:t>Life-cycle assessment of biohybrid neural computing</w:t>
      </w:r>
      <w:r w:rsidR="002B484B">
        <w:rPr>
          <w:b/>
          <w:bCs/>
          <w:sz w:val="32"/>
          <w:szCs w:val="32"/>
        </w:rPr>
        <w:t xml:space="preserve"> systems</w:t>
      </w:r>
      <w:r w:rsidRPr="00276588">
        <w:rPr>
          <w:b/>
          <w:bCs/>
          <w:sz w:val="32"/>
          <w:szCs w:val="32"/>
        </w:rPr>
        <w:t>: methodological challenges and open questions</w:t>
      </w:r>
    </w:p>
    <w:p w14:paraId="3C3B5A60" w14:textId="784295ED" w:rsidR="00420BC4" w:rsidRPr="00906636" w:rsidRDefault="00000000" w:rsidP="00DF2DB4">
      <w:pPr>
        <w:spacing w:after="240"/>
        <w:rPr>
          <w:sz w:val="20"/>
          <w:szCs w:val="20"/>
          <w:lang w:val="it-IT"/>
        </w:rPr>
      </w:pPr>
      <w:r w:rsidRPr="00906636">
        <w:rPr>
          <w:sz w:val="20"/>
          <w:szCs w:val="20"/>
          <w:lang w:val="it-IT"/>
        </w:rPr>
        <w:t>Simone Anzà</w:t>
      </w:r>
      <w:r w:rsidR="00906636">
        <w:rPr>
          <w:sz w:val="20"/>
          <w:szCs w:val="20"/>
          <w:vertAlign w:val="superscript"/>
          <w:lang w:val="it-IT"/>
        </w:rPr>
        <w:t>1</w:t>
      </w:r>
      <w:r w:rsidRPr="00906636">
        <w:rPr>
          <w:sz w:val="20"/>
          <w:szCs w:val="20"/>
          <w:lang w:val="it-IT"/>
        </w:rPr>
        <w:t>, Bruna Anzà</w:t>
      </w:r>
      <w:r w:rsidR="00906636">
        <w:rPr>
          <w:sz w:val="20"/>
          <w:szCs w:val="20"/>
          <w:vertAlign w:val="superscript"/>
          <w:lang w:val="it-IT"/>
        </w:rPr>
        <w:t>1</w:t>
      </w:r>
      <w:r w:rsidRPr="00906636">
        <w:rPr>
          <w:sz w:val="20"/>
          <w:szCs w:val="20"/>
          <w:lang w:val="it-IT"/>
        </w:rPr>
        <w:t>, Chiara Magliaro</w:t>
      </w:r>
      <w:r w:rsidR="008F69AA">
        <w:rPr>
          <w:sz w:val="20"/>
          <w:szCs w:val="20"/>
          <w:vertAlign w:val="superscript"/>
          <w:lang w:val="it-IT"/>
        </w:rPr>
        <w:t>2</w:t>
      </w:r>
    </w:p>
    <w:p w14:paraId="4C06D670" w14:textId="519BB555" w:rsidR="00420BC4" w:rsidRPr="00BE3DDC" w:rsidRDefault="008F69AA" w:rsidP="00906636">
      <w:pPr>
        <w:pStyle w:val="ListParagraph"/>
        <w:rPr>
          <w:lang w:val="it-IT"/>
        </w:rPr>
      </w:pPr>
      <w:r w:rsidRPr="00BE3DDC">
        <w:rPr>
          <w:sz w:val="20"/>
          <w:szCs w:val="20"/>
          <w:vertAlign w:val="superscript"/>
          <w:lang w:val="it-IT"/>
        </w:rPr>
        <w:t>1</w:t>
      </w:r>
      <w:r w:rsidRPr="00BE3DDC">
        <w:rPr>
          <w:lang w:val="it-IT"/>
        </w:rPr>
        <w:t xml:space="preserve"> Kernel Science srl</w:t>
      </w:r>
      <w:r w:rsidR="003A4498" w:rsidRPr="00BE3DDC">
        <w:rPr>
          <w:lang w:val="it-IT"/>
        </w:rPr>
        <w:t>, Trieste, Italy</w:t>
      </w:r>
    </w:p>
    <w:p w14:paraId="650E5B7A" w14:textId="5A15162D" w:rsidR="00420BC4" w:rsidRPr="00C22FD0" w:rsidRDefault="008F69AA" w:rsidP="00906636">
      <w:pPr>
        <w:pStyle w:val="ListParagraph"/>
        <w:rPr>
          <w:lang w:val="it-IT"/>
        </w:rPr>
      </w:pPr>
      <w:r>
        <w:rPr>
          <w:sz w:val="20"/>
          <w:szCs w:val="20"/>
          <w:vertAlign w:val="superscript"/>
          <w:lang w:val="it-IT"/>
        </w:rPr>
        <w:t>2</w:t>
      </w:r>
      <w:r w:rsidRPr="00C22FD0">
        <w:rPr>
          <w:lang w:val="it-IT"/>
        </w:rPr>
        <w:t xml:space="preserve"> </w:t>
      </w:r>
      <w:r w:rsidR="00C22FD0" w:rsidRPr="00C22FD0">
        <w:rPr>
          <w:lang w:val="it-IT"/>
        </w:rPr>
        <w:t xml:space="preserve">Dipartimento di Ingegneria </w:t>
      </w:r>
      <w:r w:rsidR="004A0B67">
        <w:rPr>
          <w:lang w:val="it-IT"/>
        </w:rPr>
        <w:t>dell’Informazione</w:t>
      </w:r>
      <w:r w:rsidR="00C22FD0" w:rsidRPr="00C22FD0">
        <w:rPr>
          <w:lang w:val="it-IT"/>
        </w:rPr>
        <w:t xml:space="preserve">, </w:t>
      </w:r>
      <w:r w:rsidRPr="00C22FD0">
        <w:rPr>
          <w:lang w:val="it-IT"/>
        </w:rPr>
        <w:t>Università di Pisa</w:t>
      </w:r>
    </w:p>
    <w:p w14:paraId="06CB9502" w14:textId="77777777" w:rsidR="00DF2DB4" w:rsidRPr="00C22FD0" w:rsidRDefault="00DF2DB4">
      <w:pPr>
        <w:spacing w:before="120" w:after="240"/>
        <w:rPr>
          <w:i/>
          <w:iCs/>
          <w:color w:val="555555"/>
          <w:sz w:val="20"/>
          <w:szCs w:val="20"/>
          <w:lang w:val="it-IT"/>
        </w:rPr>
      </w:pPr>
    </w:p>
    <w:p w14:paraId="4D44D639" w14:textId="77777777" w:rsidR="00420BC4" w:rsidRDefault="00000000">
      <w:pPr>
        <w:pStyle w:val="Heading1"/>
      </w:pPr>
      <w:r>
        <w:t>Abstract</w:t>
      </w:r>
    </w:p>
    <w:p w14:paraId="64DB2025" w14:textId="61923E19" w:rsidR="00420BC4" w:rsidRDefault="00000000" w:rsidP="00F22537">
      <w:pPr>
        <w:spacing w:after="120" w:line="300" w:lineRule="auto"/>
        <w:jc w:val="both"/>
      </w:pPr>
      <w:r>
        <w:t xml:space="preserve">Biohybrid neural computing, as the use of living neural tissue and adaptive cultures for computation via microelectrode arrays, has increasingly been framed as a potential sustainable alternative to silicon-based artificial intelligence (AI). The rhetorical foundation of the claim contrasts the human brain's approximately 20watt power budget with the megawatt scale of frontier machine-learning (ML) training. </w:t>
      </w:r>
      <w:r w:rsidR="00F85CF7" w:rsidRPr="00F85CF7">
        <w:t>However, the claim has traversed peer-reviewed literature, commercial announcements, and public policy discussions while the methodology to evaluate it is still taking shape. The field is still working out what to count as a functional unit, where to draw system boundaries, which silicon comparator to match against, and what a complete biohybrid LCA would even look like.</w:t>
      </w:r>
      <w:r>
        <w:t xml:space="preserve"> The distinctive feature of biohybrid computing is that it constitutes a single functional object spanning wet-lab and dry-lab subsystems simultaneously, and neither the established biotechnology LCA tradition nor the information-and-communication-technology LCA tradition is equipped to assess such an object on its own terms. This perspective argues that the field may arrive at its ecological claim before developing the methodology required to evaluate it. We articulate the methodological gap, pose six open questions for rigorous assessments, name five principles that should hold even while those questions remain open, and outline the community infrastructure the field may build before any credible substitution claim. We do not propose a finished framework as that work belongs to the community. Here, our contribution is to name what we believe is missing, and to argue that the biohybrid computing credibility depends on treating its ecological claim as a hypothesis to be tested, not a premise to be defended.</w:t>
      </w:r>
    </w:p>
    <w:p w14:paraId="21930C85" w14:textId="77777777" w:rsidR="00DF2DB4" w:rsidRDefault="00DF2DB4" w:rsidP="00F22537">
      <w:pPr>
        <w:spacing w:after="120" w:line="300" w:lineRule="auto"/>
        <w:jc w:val="both"/>
      </w:pPr>
    </w:p>
    <w:p w14:paraId="1C96A3D6" w14:textId="77777777" w:rsidR="00DF2DB4" w:rsidRDefault="00DF2DB4" w:rsidP="00DF2DB4">
      <w:pPr>
        <w:spacing w:before="120" w:after="240"/>
      </w:pPr>
      <w:r>
        <w:rPr>
          <w:b/>
          <w:bCs/>
        </w:rPr>
        <w:t xml:space="preserve">Keywords: </w:t>
      </w:r>
      <w:r>
        <w:t>life-cycle assessment; biohybrid computing; organoid intelligence; functional unit; attributional LCA; sustainable computing; industrial ecology; neuromorphic computing.</w:t>
      </w:r>
    </w:p>
    <w:p w14:paraId="7BBB7C44" w14:textId="77777777" w:rsidR="00DF2DB4" w:rsidRDefault="00DF2DB4" w:rsidP="00F22537">
      <w:pPr>
        <w:spacing w:after="120" w:line="300" w:lineRule="auto"/>
        <w:jc w:val="both"/>
      </w:pPr>
    </w:p>
    <w:p w14:paraId="456D2AAB" w14:textId="364A646B" w:rsidR="00420BC4" w:rsidRDefault="001D547B" w:rsidP="004D47F8">
      <w:pPr>
        <w:spacing w:before="80" w:after="240"/>
        <w:jc w:val="both"/>
      </w:pPr>
      <w:r>
        <w:br w:type="column"/>
      </w:r>
      <w:r>
        <w:rPr>
          <w:b/>
          <w:bCs/>
          <w:sz w:val="26"/>
          <w:szCs w:val="26"/>
        </w:rPr>
        <w:lastRenderedPageBreak/>
        <w:t>1. Introduction</w:t>
      </w:r>
    </w:p>
    <w:p w14:paraId="3AA58E14" w14:textId="1D3163B1" w:rsidR="006A7338" w:rsidRDefault="00000000" w:rsidP="000E6E36">
      <w:pPr>
        <w:spacing w:line="480" w:lineRule="auto"/>
        <w:jc w:val="both"/>
      </w:pPr>
      <w:r>
        <w:t xml:space="preserve">The biohybrid neural computing, including organoid intelligence, adaptive neuronal cultures on multielectrode arrays, and emerging commercial platforms (Smirnova et al., 2023; </w:t>
      </w:r>
      <w:proofErr w:type="spellStart"/>
      <w:r>
        <w:t>Khajehnejad</w:t>
      </w:r>
      <w:proofErr w:type="spellEnd"/>
      <w:r>
        <w:t xml:space="preserve"> et al., 2024; Jordan et al., 2024), presents itself as a potential sustainable alternative to silicon-based artificial intelligence (AI). Although the claim appears across popular press, venture-capital pitch decks, and peer-reviewed literature it lacks a life-cycle assessment (LCA) conducted to recognised international standards. </w:t>
      </w:r>
      <w:r w:rsidR="00F85CF7" w:rsidRPr="00F85CF7">
        <w:t>To our knowledge, we don't yet have a peer-reviewed LCA of a complete biohybrid computing system, and we're still figuring out what to use as a functional unit, where to draw the system boundary, and which silicon comparator makes sense to match against.</w:t>
      </w:r>
      <w:r w:rsidR="00F85CF7">
        <w:t xml:space="preserve"> </w:t>
      </w:r>
      <w:r>
        <w:t>The distinctive feature of biohybrid computing is that it spans the wet-lab (</w:t>
      </w:r>
      <w:r w:rsidR="00C22FD0">
        <w:t>from cell culture and microfabrication</w:t>
      </w:r>
      <w:r>
        <w:t xml:space="preserve"> to biohazard streams) and the dry-lab (from ML training to data storage) as two single functional objects (</w:t>
      </w:r>
      <w:r>
        <w:rPr>
          <w:b/>
          <w:bCs/>
        </w:rPr>
        <w:t>Figure 1</w:t>
      </w:r>
      <w:r>
        <w:t>). These two well-developed LCA sub-communities exist already: one that knows how to assess biotechnology systems (e.g., cell cultures, bioreactors, biopharmaceuticals, cultivated meat) and one that knows how to assess information technology systems (e.g., chips, data centres, GPUs, software). However, a biohybrid computing system is simultaneously both, and neither community has developed methods for assessing such a hybrid object because neither has historically needed to. The biotech LCA community treats compute as an incidental input; the information-and-communication-technology (ICT) LCA community treats biology as out of scope. A biohybrid system falls in the gap.</w:t>
      </w:r>
    </w:p>
    <w:p w14:paraId="23F9639C" w14:textId="41BDCB53" w:rsidR="00420BC4" w:rsidRDefault="006A7338" w:rsidP="00DF2DB4">
      <w:pPr>
        <w:spacing w:after="120" w:line="480" w:lineRule="auto"/>
        <w:ind w:firstLine="720"/>
        <w:jc w:val="both"/>
      </w:pPr>
      <w:r>
        <w:t>This Perspective argues that the methodology required to evaluate the field's ecological claim has not yet caught up with the claim itself. Here, we do not propose a finished framework for LCA of biohybrid neural computing systems, as this work belongs to the community. Instead, we articulate the methodological gaps, pose the open questions any rigorous assessment should confront, name the principles that must hold even while those questions remain open, and outline the infrastructure we believe may be beneficial for the related industry to grow.</w:t>
      </w:r>
    </w:p>
    <w:p w14:paraId="57369BC5" w14:textId="327A1BBC" w:rsidR="000E6E36" w:rsidRDefault="000E6E36" w:rsidP="00DF2DB4">
      <w:pPr>
        <w:spacing w:before="80" w:after="240" w:line="480" w:lineRule="auto"/>
        <w:jc w:val="both"/>
        <w:rPr>
          <w:b/>
          <w:bCs/>
          <w:sz w:val="20"/>
          <w:szCs w:val="20"/>
        </w:rPr>
      </w:pPr>
      <w:r>
        <w:rPr>
          <w:b/>
          <w:bCs/>
          <w:noProof/>
          <w:sz w:val="20"/>
          <w:szCs w:val="20"/>
        </w:rPr>
        <w:lastRenderedPageBreak/>
        <w:drawing>
          <wp:inline distT="0" distB="0" distL="0" distR="0" wp14:anchorId="1186C421" wp14:editId="76A56880">
            <wp:extent cx="5728970" cy="3095875"/>
            <wp:effectExtent l="0" t="0" r="5080" b="9525"/>
            <wp:docPr id="1380871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871669" name="Picture 1"/>
                    <pic:cNvPicPr/>
                  </pic:nvPicPr>
                  <pic:blipFill rotWithShape="1">
                    <a:blip r:embed="rId8"/>
                    <a:srcRect t="6673"/>
                    <a:stretch/>
                  </pic:blipFill>
                  <pic:spPr bwMode="auto">
                    <a:xfrm>
                      <a:off x="0" y="0"/>
                      <a:ext cx="5729008" cy="3095896"/>
                    </a:xfrm>
                    <a:prstGeom prst="rect">
                      <a:avLst/>
                    </a:prstGeom>
                    <a:ln>
                      <a:noFill/>
                    </a:ln>
                    <a:extLst>
                      <a:ext uri="{53640926-AAD7-44D8-BBD7-CCE9431645EC}">
                        <a14:shadowObscured xmlns:a14="http://schemas.microsoft.com/office/drawing/2010/main"/>
                      </a:ext>
                    </a:extLst>
                  </pic:spPr>
                </pic:pic>
              </a:graphicData>
            </a:graphic>
          </wp:inline>
        </w:drawing>
      </w:r>
    </w:p>
    <w:p w14:paraId="63C3FB76" w14:textId="2B44E283" w:rsidR="00F22537" w:rsidRPr="00861A91" w:rsidRDefault="00000000" w:rsidP="000E6E36">
      <w:pPr>
        <w:spacing w:before="80" w:after="240"/>
        <w:jc w:val="both"/>
        <w:rPr>
          <w:sz w:val="16"/>
          <w:szCs w:val="16"/>
        </w:rPr>
      </w:pPr>
      <w:r w:rsidRPr="00861A91">
        <w:rPr>
          <w:b/>
          <w:bCs/>
          <w:sz w:val="16"/>
          <w:szCs w:val="16"/>
        </w:rPr>
        <w:t xml:space="preserve">Figure 1. </w:t>
      </w:r>
      <w:r w:rsidRPr="00861A91">
        <w:rPr>
          <w:sz w:val="16"/>
          <w:szCs w:val="16"/>
        </w:rPr>
        <w:t>Biohybrid neural computing as a single functional object spanning wet-lab and dry-lab subsystems. Nested boundaries: (inner) the biological unit</w:t>
      </w:r>
      <w:r w:rsidR="00861A91" w:rsidRPr="00861A91">
        <w:rPr>
          <w:sz w:val="16"/>
          <w:szCs w:val="16"/>
        </w:rPr>
        <w:t>:</w:t>
      </w:r>
      <w:r w:rsidRPr="00861A91">
        <w:rPr>
          <w:sz w:val="16"/>
          <w:szCs w:val="16"/>
        </w:rPr>
        <w:t xml:space="preserve"> organoid or neural culture on its microelectrode array; (middle) the operational infrastructure</w:t>
      </w:r>
      <w:r w:rsidR="00861A91" w:rsidRPr="00861A91">
        <w:rPr>
          <w:sz w:val="16"/>
          <w:szCs w:val="16"/>
        </w:rPr>
        <w:t>:</w:t>
      </w:r>
      <w:r w:rsidRPr="00861A91">
        <w:rPr>
          <w:sz w:val="16"/>
          <w:szCs w:val="16"/>
        </w:rPr>
        <w:t xml:space="preserve"> incubators, microfluidics, amplifiers, GPUs for signal decoding and training; (outer) the upstream supply chains</w:t>
      </w:r>
      <w:r w:rsidR="00861A91">
        <w:rPr>
          <w:sz w:val="16"/>
          <w:szCs w:val="16"/>
        </w:rPr>
        <w:t xml:space="preserve">: </w:t>
      </w:r>
      <w:r w:rsidRPr="00861A91">
        <w:rPr>
          <w:sz w:val="16"/>
          <w:szCs w:val="16"/>
        </w:rPr>
        <w:t>recombinant growth factors, animal-derived matrices, critical raw materials, semiconductor fabrication, electricity grid. Arrows indicate mass and energy flows crossing each boundary. Conventional biotechnology LCA is designed for the middle and outer boundaries only on the wet-lab side; conventional information-and-communication-technology LCA is designed for them only on the dry-lab side. Biohybrid computing requires both simultaneously.</w:t>
      </w:r>
    </w:p>
    <w:p w14:paraId="2C10E4F1" w14:textId="410FF5EB" w:rsidR="00420BC4" w:rsidRDefault="00000000" w:rsidP="00F67C8B">
      <w:pPr>
        <w:pStyle w:val="Heading1"/>
        <w:spacing w:before="0" w:after="0" w:line="480" w:lineRule="auto"/>
      </w:pPr>
      <w:r>
        <w:t xml:space="preserve">2. </w:t>
      </w:r>
      <w:r w:rsidR="00861A91" w:rsidRPr="00861A91">
        <w:t>Quantitative evidence</w:t>
      </w:r>
    </w:p>
    <w:p w14:paraId="48495C84" w14:textId="77777777" w:rsidR="00F67C8B" w:rsidRDefault="00F67C8B" w:rsidP="00982AF8">
      <w:pPr>
        <w:pStyle w:val="Heading1"/>
        <w:spacing w:before="0" w:after="0" w:line="480" w:lineRule="auto"/>
        <w:jc w:val="both"/>
        <w:rPr>
          <w:b w:val="0"/>
          <w:bCs w:val="0"/>
          <w:sz w:val="22"/>
          <w:szCs w:val="22"/>
        </w:rPr>
      </w:pPr>
      <w:r w:rsidRPr="00F67C8B">
        <w:rPr>
          <w:b w:val="0"/>
          <w:bCs w:val="0"/>
          <w:sz w:val="22"/>
          <w:szCs w:val="22"/>
        </w:rPr>
        <w:t xml:space="preserve">The central narrative of biohybrid computing contrasts the brain's approximately </w:t>
      </w:r>
      <w:proofErr w:type="gramStart"/>
      <w:r w:rsidRPr="00F67C8B">
        <w:rPr>
          <w:b w:val="0"/>
          <w:bCs w:val="0"/>
          <w:sz w:val="22"/>
          <w:szCs w:val="22"/>
        </w:rPr>
        <w:t>20 Watt</w:t>
      </w:r>
      <w:proofErr w:type="gramEnd"/>
      <w:r w:rsidRPr="00F67C8B">
        <w:rPr>
          <w:b w:val="0"/>
          <w:bCs w:val="0"/>
          <w:sz w:val="22"/>
          <w:szCs w:val="22"/>
        </w:rPr>
        <w:t xml:space="preserve"> power budget (Smirnova et al., 2023) with the megawatt scale of frontier AI training (Patterson et al., 2021; Luccioni et al., 2023). Patterson and colleagues estimate GPT-3 training at 552 tonnes CO2e over 1,287 MWh (Patterson et al., 2021); Luccioni and colleagues report 50.5 tonnes CO2e for BLOOM's full life cycle on the French nuclear grid (Luccioni et al., 2023). Against these figures, commercial biohybrid platforms frame their claims by contrasting the brain's ~20 W with training costs on the order of 10 GWh for a single LLM (Jordan et al., 2024). However, to date, none of these claims is accompanied by a published life-cycle inventory, a declared functional unit, or a matched comparator.</w:t>
      </w:r>
      <w:r>
        <w:rPr>
          <w:b w:val="0"/>
          <w:bCs w:val="0"/>
          <w:sz w:val="22"/>
          <w:szCs w:val="22"/>
        </w:rPr>
        <w:t xml:space="preserve"> </w:t>
      </w:r>
    </w:p>
    <w:p w14:paraId="3747D757" w14:textId="79A42562" w:rsidR="00F67C8B" w:rsidRDefault="00F67C8B" w:rsidP="00982AF8">
      <w:pPr>
        <w:pStyle w:val="Heading1"/>
        <w:spacing w:line="480" w:lineRule="auto"/>
        <w:ind w:firstLine="720"/>
        <w:jc w:val="both"/>
        <w:rPr>
          <w:b w:val="0"/>
          <w:bCs w:val="0"/>
          <w:sz w:val="22"/>
          <w:szCs w:val="22"/>
        </w:rPr>
      </w:pPr>
      <w:r w:rsidRPr="00F67C8B">
        <w:rPr>
          <w:b w:val="0"/>
          <w:bCs w:val="0"/>
          <w:sz w:val="22"/>
          <w:szCs w:val="22"/>
        </w:rPr>
        <w:lastRenderedPageBreak/>
        <w:t xml:space="preserve">What has been quantified so far by extrapolation from cultivated-meat life-cycle data offers a more complicated picture: a representative organoid with its associated life-support has a power density of ~75 W/kg, roughly 5 times greater than an equivalent mass of brain tissue (roughly 14 W/kg) (Magliaro and Ahluwalia, 2023; Sinke et al., 2023). Once high-density microelectrode arrays and associated signal-acquisition electronics are included, the same authors estimate total power density reaches ~1 MW/kg. Neuromorphic silicon, the natural comparator for small-task inference, achieves 23.6 </w:t>
      </w:r>
      <w:proofErr w:type="spellStart"/>
      <w:r w:rsidRPr="00F67C8B">
        <w:rPr>
          <w:b w:val="0"/>
          <w:bCs w:val="0"/>
          <w:sz w:val="22"/>
          <w:szCs w:val="22"/>
        </w:rPr>
        <w:t>pJ</w:t>
      </w:r>
      <w:proofErr w:type="spellEnd"/>
      <w:r w:rsidRPr="00F67C8B">
        <w:rPr>
          <w:b w:val="0"/>
          <w:bCs w:val="0"/>
          <w:sz w:val="22"/>
          <w:szCs w:val="22"/>
        </w:rPr>
        <w:t xml:space="preserve"> per synaptic operation on Intel </w:t>
      </w:r>
      <w:proofErr w:type="spellStart"/>
      <w:r w:rsidRPr="00F67C8B">
        <w:rPr>
          <w:b w:val="0"/>
          <w:bCs w:val="0"/>
          <w:sz w:val="22"/>
          <w:szCs w:val="22"/>
        </w:rPr>
        <w:t>Loihi</w:t>
      </w:r>
      <w:proofErr w:type="spellEnd"/>
      <w:r w:rsidRPr="00F67C8B">
        <w:rPr>
          <w:b w:val="0"/>
          <w:bCs w:val="0"/>
          <w:sz w:val="22"/>
          <w:szCs w:val="22"/>
        </w:rPr>
        <w:t xml:space="preserve"> (Davies et al., 2018) and about 10 </w:t>
      </w:r>
      <w:proofErr w:type="spellStart"/>
      <w:r w:rsidRPr="00F67C8B">
        <w:rPr>
          <w:b w:val="0"/>
          <w:bCs w:val="0"/>
          <w:sz w:val="22"/>
          <w:szCs w:val="22"/>
        </w:rPr>
        <w:t>pJ</w:t>
      </w:r>
      <w:proofErr w:type="spellEnd"/>
      <w:r w:rsidRPr="00F67C8B">
        <w:rPr>
          <w:b w:val="0"/>
          <w:bCs w:val="0"/>
          <w:sz w:val="22"/>
          <w:szCs w:val="22"/>
        </w:rPr>
        <w:t xml:space="preserve"> per synaptic event on SpiNNaker2 (Gonzalez et al., 2024). </w:t>
      </w:r>
      <w:proofErr w:type="spellStart"/>
      <w:r w:rsidRPr="00F67C8B">
        <w:rPr>
          <w:b w:val="0"/>
          <w:bCs w:val="0"/>
          <w:sz w:val="22"/>
          <w:szCs w:val="22"/>
        </w:rPr>
        <w:t>Pirson</w:t>
      </w:r>
      <w:proofErr w:type="spellEnd"/>
      <w:r w:rsidRPr="00F67C8B">
        <w:rPr>
          <w:b w:val="0"/>
          <w:bCs w:val="0"/>
          <w:sz w:val="22"/>
          <w:szCs w:val="22"/>
        </w:rPr>
        <w:t xml:space="preserve"> and Bol's cradle-to-gate LCA of a single vanadium-dioxide spiking neuron reports that gold contacts alone dominate the device's environmental footprint, contributing ~38% of cumulative energy demand and ~49% of global warming potential (</w:t>
      </w:r>
      <w:proofErr w:type="spellStart"/>
      <w:r w:rsidRPr="00F67C8B">
        <w:rPr>
          <w:b w:val="0"/>
          <w:bCs w:val="0"/>
          <w:sz w:val="22"/>
          <w:szCs w:val="22"/>
        </w:rPr>
        <w:t>Pirson</w:t>
      </w:r>
      <w:proofErr w:type="spellEnd"/>
      <w:r w:rsidRPr="00F67C8B">
        <w:rPr>
          <w:b w:val="0"/>
          <w:bCs w:val="0"/>
          <w:sz w:val="22"/>
          <w:szCs w:val="22"/>
        </w:rPr>
        <w:t xml:space="preserve"> et al., 2024). Falk and colleagues' multi-criteria cradle-to-grave LCA of an NVIDIA A100 GPU document that carbon emissions capture only a fraction of AI hardware's environmental footprint: while use-phase operations dominate climate impact, manufacturing dominates 5–6 other impact categories, including human toxicity (94%) and freshwater eutrophication (81%) (Falk et al., 2025). None of the published quantitative evidence supports the popular framing that biohybrid computing is categorically greener than silicon at current technology-readiness levels. Additionally, the gap between claim and evidence is not only a matter of missing data. It also reflects the absence of an agreed methodological framework for conducting such an assessment, a framework that does not yet exist for biohybrid systems specifically. LCA of biohybrid neural computing is hard in ways that biotechnology LCA and ICT LCA are not. Moreover, these new difficulties stack on top of the ones each tradition already faces as we list them next.</w:t>
      </w:r>
    </w:p>
    <w:p w14:paraId="2F3EB013" w14:textId="0C2D0C91" w:rsidR="00420BC4" w:rsidRDefault="00000000" w:rsidP="00F67C8B">
      <w:pPr>
        <w:pStyle w:val="Heading1"/>
        <w:spacing w:line="480" w:lineRule="auto"/>
      </w:pPr>
      <w:r>
        <w:t>3. Six open questions on the biohybrid computing LCA</w:t>
      </w:r>
    </w:p>
    <w:p w14:paraId="12F59F13" w14:textId="6F62CAB3" w:rsidR="00420BC4" w:rsidRDefault="00000000" w:rsidP="00DF2DB4">
      <w:pPr>
        <w:spacing w:after="120" w:line="480" w:lineRule="auto"/>
        <w:jc w:val="both"/>
      </w:pPr>
      <w:r>
        <w:t xml:space="preserve">Before any principle can be committed to, an </w:t>
      </w:r>
      <w:bookmarkStart w:id="0" w:name="_Hlk227787267"/>
      <w:r>
        <w:t xml:space="preserve">LCA on biohybrid computing </w:t>
      </w:r>
      <w:bookmarkEnd w:id="0"/>
      <w:r>
        <w:t xml:space="preserve">systems must confront open methodological questions for which the field does not have good answers yet. </w:t>
      </w:r>
    </w:p>
    <w:p w14:paraId="73E44B08" w14:textId="039CCA25" w:rsidR="00420BC4" w:rsidRPr="00F67C8B" w:rsidRDefault="00000000" w:rsidP="00DF2DB4">
      <w:pPr>
        <w:pStyle w:val="Heading2"/>
        <w:spacing w:line="480" w:lineRule="auto"/>
        <w:rPr>
          <w:color w:val="000000"/>
        </w:rPr>
      </w:pPr>
      <w:r w:rsidRPr="00F67C8B">
        <w:rPr>
          <w:color w:val="000000"/>
        </w:rPr>
        <w:lastRenderedPageBreak/>
        <w:t>3.1. What is a functional unit for a biohybrid computational system?</w:t>
      </w:r>
    </w:p>
    <w:p w14:paraId="1CE56FD4" w14:textId="2FBABA1B" w:rsidR="008E4692" w:rsidRDefault="00D11FAC" w:rsidP="00D11FAC">
      <w:pPr>
        <w:pStyle w:val="Heading2"/>
        <w:spacing w:line="480" w:lineRule="auto"/>
        <w:jc w:val="both"/>
        <w:rPr>
          <w:b w:val="0"/>
          <w:bCs w:val="0"/>
          <w:color w:val="auto"/>
          <w:sz w:val="22"/>
          <w:szCs w:val="22"/>
        </w:rPr>
      </w:pPr>
      <w:r>
        <w:rPr>
          <w:b w:val="0"/>
          <w:bCs w:val="0"/>
          <w:color w:val="auto"/>
          <w:sz w:val="22"/>
          <w:szCs w:val="22"/>
        </w:rPr>
        <w:t>Every LCA needs a "functional unit" (FU) that specifies what counts as one unit of delivered function, so that environmental costs can be reported as impact per unit of useful output. For conventional silicon systems, the FU can be more obvious: the number of computations performed, or the number of times a model produces an answer (for example, one answer from an image-classification model, or one complete round of training a model from scratch). Biohybrid computing has no such obvious unit, and the field has not yet converged on one. Each candidate has a limitation: (</w:t>
      </w:r>
      <w:proofErr w:type="spellStart"/>
      <w:r>
        <w:rPr>
          <w:b w:val="0"/>
          <w:bCs w:val="0"/>
          <w:color w:val="auto"/>
          <w:sz w:val="22"/>
          <w:szCs w:val="22"/>
        </w:rPr>
        <w:t>i</w:t>
      </w:r>
      <w:proofErr w:type="spellEnd"/>
      <w:r>
        <w:rPr>
          <w:b w:val="0"/>
          <w:bCs w:val="0"/>
          <w:color w:val="auto"/>
          <w:sz w:val="22"/>
          <w:szCs w:val="22"/>
        </w:rPr>
        <w:t xml:space="preserve">) counting computations does not apply because the activity of an organoid is not decomposable into the discrete arithmetic steps performed by a processor; (ii) counting answers requires a shared definition of what counts as a single "answer" produced by a biohybrid system; (iii) measuring time (e.g., hours of operation) can be more straightforward but hides the efficiency question since an idle system and a working system can look identical; (iv) measuring completed tasks can be straightforward as well but hides the choice of task since results shift with task difficulty, and without an agreed benchmark any chosen task can be defensible. A combined unit, for example tasks completed per hour of life-support-sustained operation, may therefore be more defensible. Until such a convention is standardised, environmental figures reported for biohybrid systems </w:t>
      </w:r>
      <w:r w:rsidR="00982AF8">
        <w:rPr>
          <w:b w:val="0"/>
          <w:bCs w:val="0"/>
          <w:color w:val="auto"/>
          <w:sz w:val="22"/>
          <w:szCs w:val="22"/>
        </w:rPr>
        <w:t>cannot</w:t>
      </w:r>
      <w:r>
        <w:rPr>
          <w:b w:val="0"/>
          <w:bCs w:val="0"/>
          <w:color w:val="auto"/>
          <w:sz w:val="22"/>
          <w:szCs w:val="22"/>
        </w:rPr>
        <w:t xml:space="preserve"> be meaningfully comparable across studies.</w:t>
      </w:r>
    </w:p>
    <w:p w14:paraId="051C7F61" w14:textId="0A0AE88A" w:rsidR="00420BC4" w:rsidRPr="00F67C8B" w:rsidRDefault="00000000" w:rsidP="008E4692">
      <w:pPr>
        <w:pStyle w:val="Heading2"/>
        <w:spacing w:before="0" w:line="480" w:lineRule="auto"/>
        <w:jc w:val="both"/>
        <w:rPr>
          <w:color w:val="auto"/>
        </w:rPr>
      </w:pPr>
      <w:r w:rsidRPr="00F67C8B">
        <w:rPr>
          <w:color w:val="auto"/>
        </w:rPr>
        <w:t>3.2. What is the right comparator?</w:t>
      </w:r>
    </w:p>
    <w:p w14:paraId="59697372" w14:textId="263132C9" w:rsidR="008E4692" w:rsidRDefault="00344AB4" w:rsidP="008E4692">
      <w:pPr>
        <w:pStyle w:val="Heading2"/>
        <w:spacing w:before="0" w:line="480" w:lineRule="auto"/>
        <w:jc w:val="both"/>
        <w:rPr>
          <w:b w:val="0"/>
          <w:bCs w:val="0"/>
          <w:color w:val="auto"/>
          <w:sz w:val="22"/>
          <w:szCs w:val="22"/>
        </w:rPr>
      </w:pPr>
      <w:r>
        <w:rPr>
          <w:b w:val="0"/>
          <w:bCs w:val="0"/>
          <w:color w:val="auto"/>
          <w:sz w:val="22"/>
          <w:szCs w:val="22"/>
        </w:rPr>
        <w:t>An ecological comparison is only as meaningful as the baseline it is measured against. Three candidate baselines currently appear in the biohybrid literature, and they are not interchangeable: (</w:t>
      </w:r>
      <w:proofErr w:type="spellStart"/>
      <w:r>
        <w:rPr>
          <w:b w:val="0"/>
          <w:bCs w:val="0"/>
          <w:color w:val="auto"/>
          <w:sz w:val="22"/>
          <w:szCs w:val="22"/>
        </w:rPr>
        <w:t>i</w:t>
      </w:r>
      <w:proofErr w:type="spellEnd"/>
      <w:r>
        <w:rPr>
          <w:b w:val="0"/>
          <w:bCs w:val="0"/>
          <w:color w:val="auto"/>
          <w:sz w:val="22"/>
          <w:szCs w:val="22"/>
        </w:rPr>
        <w:t>) the biological brain, (ii) frontier GPU training of large AI models, and (iii) neuromorphic silicon chips. Each has a different problem: (</w:t>
      </w:r>
      <w:proofErr w:type="spellStart"/>
      <w:r>
        <w:rPr>
          <w:b w:val="0"/>
          <w:bCs w:val="0"/>
          <w:color w:val="auto"/>
          <w:sz w:val="22"/>
          <w:szCs w:val="22"/>
        </w:rPr>
        <w:t>i</w:t>
      </w:r>
      <w:proofErr w:type="spellEnd"/>
      <w:r>
        <w:rPr>
          <w:b w:val="0"/>
          <w:bCs w:val="0"/>
          <w:color w:val="auto"/>
          <w:sz w:val="22"/>
          <w:szCs w:val="22"/>
        </w:rPr>
        <w:t xml:space="preserve">) the brain comparison is flattering to biohybrid systems because most of the brain's ~20 W energy budget is spent on tasks that are not hard computation (e.g., maintaining ion gradients, regulating blood flow) thus saying that an organoid uses less energy than a whole brain may not say much; (ii) the frontier-GPU comparison is flattering by </w:t>
      </w:r>
      <w:r>
        <w:rPr>
          <w:b w:val="0"/>
          <w:bCs w:val="0"/>
          <w:color w:val="auto"/>
          <w:sz w:val="22"/>
          <w:szCs w:val="22"/>
        </w:rPr>
        <w:lastRenderedPageBreak/>
        <w:t xml:space="preserve">orders of magnitude, because training a model like GPT-4 performs tasks that no biohybrid system is currently attempting; (iii) the neuromorphic-silicon comparison may be the most honest one since these chips are designed to do the same kind of small-task spike-based computation that biohybrid systems aim to perform while it is also the least favourable for biohybrid claims, because modern neuromorphic chips already achieve very high energy efficiency (on the order of 10–24 </w:t>
      </w:r>
      <w:proofErr w:type="spellStart"/>
      <w:r>
        <w:rPr>
          <w:b w:val="0"/>
          <w:bCs w:val="0"/>
          <w:color w:val="auto"/>
          <w:sz w:val="22"/>
          <w:szCs w:val="22"/>
        </w:rPr>
        <w:t>pJ</w:t>
      </w:r>
      <w:proofErr w:type="spellEnd"/>
      <w:r>
        <w:rPr>
          <w:b w:val="0"/>
          <w:bCs w:val="0"/>
          <w:color w:val="auto"/>
          <w:sz w:val="22"/>
          <w:szCs w:val="22"/>
        </w:rPr>
        <w:t xml:space="preserve"> per computational event). In the absence of an agreed convention, the choice of comparator is left to individual authors, and the most favourable comparator tends to be adopted. Agreeing on an appropriate baseline is therefore a precondition for rigorous assessment.</w:t>
      </w:r>
    </w:p>
    <w:p w14:paraId="229868C2" w14:textId="168C6A72" w:rsidR="00984A65" w:rsidRPr="00F67C8B" w:rsidRDefault="00000000" w:rsidP="00984A65">
      <w:pPr>
        <w:pStyle w:val="Heading2"/>
        <w:spacing w:line="480" w:lineRule="auto"/>
        <w:jc w:val="both"/>
        <w:rPr>
          <w:color w:val="auto"/>
        </w:rPr>
      </w:pPr>
      <w:r w:rsidRPr="00F67C8B">
        <w:rPr>
          <w:color w:val="auto"/>
        </w:rPr>
        <w:t>3.3. How should life-support energy be allocated?</w:t>
      </w:r>
    </w:p>
    <w:p w14:paraId="7FC7853A" w14:textId="1D253838" w:rsidR="00420BC4" w:rsidRDefault="00984A65" w:rsidP="00984A65">
      <w:pPr>
        <w:spacing w:after="120" w:line="480" w:lineRule="auto"/>
        <w:jc w:val="both"/>
      </w:pPr>
      <w:r>
        <w:t>While a GPU consumes energy when it computes and powers down when it does not, a brain organoid consumes energy continuously (e.g., the incubator, microfluidic pump, gas exchange) and recording electronics run regardless of whether any computation is being performed. Over the full life of an organoid-based system and depending on its assigned tasks, this continuous energy draw can accumulate to an amount on the order of megawatt-hours. The central methodological challenge here is thus how the accumulated cost should be shared out across the system’s computational output (the allocation problem). Two extreme allocations may be easier to rule out: (</w:t>
      </w:r>
      <w:proofErr w:type="spellStart"/>
      <w:r>
        <w:t>i</w:t>
      </w:r>
      <w:proofErr w:type="spellEnd"/>
      <w:r>
        <w:t xml:space="preserve">) attributing all of the life-support energy to a single computation overstates its true </w:t>
      </w:r>
      <w:proofErr w:type="gramStart"/>
      <w:r>
        <w:t>cost;</w:t>
      </w:r>
      <w:proofErr w:type="gramEnd"/>
      <w:r>
        <w:t xml:space="preserve"> while (ii) attributing none of it understates the system's true footprint. The correct answer may lie somewhere </w:t>
      </w:r>
      <w:proofErr w:type="gramStart"/>
      <w:r>
        <w:t>in between, and</w:t>
      </w:r>
      <w:proofErr w:type="gramEnd"/>
      <w:r>
        <w:t xml:space="preserve"> depends on the total number of computations the system performs over its lifetime. We believe that any LCA should therefore state explicitly how life-support energy has been allocated across computations, and test how much the results change if that allocation choice is varied (sensitivity analysis).</w:t>
      </w:r>
    </w:p>
    <w:p w14:paraId="244F0FC3" w14:textId="5DF98ECD" w:rsidR="00420BC4" w:rsidRPr="00F67C8B" w:rsidRDefault="00000000" w:rsidP="00DF2DB4">
      <w:pPr>
        <w:pStyle w:val="Heading2"/>
        <w:spacing w:line="480" w:lineRule="auto"/>
        <w:rPr>
          <w:color w:val="auto"/>
        </w:rPr>
      </w:pPr>
      <w:r w:rsidRPr="00F67C8B">
        <w:rPr>
          <w:color w:val="auto"/>
        </w:rPr>
        <w:t xml:space="preserve">3.4. </w:t>
      </w:r>
      <w:r w:rsidR="004533FA" w:rsidRPr="004533FA">
        <w:rPr>
          <w:color w:val="auto"/>
        </w:rPr>
        <w:t>How do we handle missing inventory data?</w:t>
      </w:r>
    </w:p>
    <w:p w14:paraId="59C83F66" w14:textId="6C2C49A4" w:rsidR="00424FB6" w:rsidRDefault="00424FB6" w:rsidP="003A4498">
      <w:pPr>
        <w:pStyle w:val="Heading2"/>
        <w:spacing w:line="480" w:lineRule="auto"/>
        <w:jc w:val="both"/>
        <w:rPr>
          <w:b w:val="0"/>
          <w:bCs w:val="0"/>
          <w:color w:val="auto"/>
          <w:sz w:val="22"/>
          <w:szCs w:val="22"/>
        </w:rPr>
      </w:pPr>
      <w:r>
        <w:rPr>
          <w:b w:val="0"/>
          <w:bCs w:val="0"/>
          <w:color w:val="auto"/>
          <w:sz w:val="22"/>
          <w:szCs w:val="22"/>
        </w:rPr>
        <w:lastRenderedPageBreak/>
        <w:t xml:space="preserve">Every LCA needs background information about the inputs the system consumes, what it took to manufacture the plastic, the chemicals, the electronics, and so on. Practitioners obtain this information from reference databases, of which </w:t>
      </w:r>
      <w:proofErr w:type="spellStart"/>
      <w:r>
        <w:rPr>
          <w:b w:val="0"/>
          <w:bCs w:val="0"/>
          <w:color w:val="auto"/>
          <w:sz w:val="22"/>
          <w:szCs w:val="22"/>
        </w:rPr>
        <w:t>ecoinvent</w:t>
      </w:r>
      <w:proofErr w:type="spellEnd"/>
      <w:r>
        <w:rPr>
          <w:b w:val="0"/>
          <w:bCs w:val="0"/>
          <w:color w:val="auto"/>
          <w:sz w:val="22"/>
          <w:szCs w:val="22"/>
        </w:rPr>
        <w:t xml:space="preserve"> is the most widely used and serves as the de facto standard for LCA work. </w:t>
      </w:r>
      <w:proofErr w:type="spellStart"/>
      <w:r>
        <w:rPr>
          <w:b w:val="0"/>
          <w:bCs w:val="0"/>
          <w:color w:val="auto"/>
          <w:sz w:val="22"/>
          <w:szCs w:val="22"/>
        </w:rPr>
        <w:t>Ecoinvent</w:t>
      </w:r>
      <w:proofErr w:type="spellEnd"/>
      <w:r>
        <w:rPr>
          <w:b w:val="0"/>
          <w:bCs w:val="0"/>
          <w:color w:val="auto"/>
          <w:sz w:val="22"/>
          <w:szCs w:val="22"/>
        </w:rPr>
        <w:t xml:space="preserve">, however, does not contain entries for most of the materials specific to biohybrid systems. Because the materials are currently used at research scale, and in a small number of laboratories, they have not been characterised at an industrial level of detail yet. </w:t>
      </w:r>
      <w:proofErr w:type="gramStart"/>
      <w:r>
        <w:rPr>
          <w:b w:val="0"/>
          <w:bCs w:val="0"/>
          <w:color w:val="auto"/>
          <w:sz w:val="22"/>
          <w:szCs w:val="22"/>
        </w:rPr>
        <w:t>So</w:t>
      </w:r>
      <w:proofErr w:type="gramEnd"/>
      <w:r>
        <w:rPr>
          <w:b w:val="0"/>
          <w:bCs w:val="0"/>
          <w:color w:val="auto"/>
          <w:sz w:val="22"/>
          <w:szCs w:val="22"/>
        </w:rPr>
        <w:t xml:space="preserve"> there are no dedicated entries for the recombinant signalling proteins used to grow and mature neural tissue, no entry for the extracellular-matrix materials in which organoids are typically cultured, or for the thin-film metal electrodes used in multielectrode arrays, and so on. </w:t>
      </w:r>
      <w:r w:rsidR="003A4498">
        <w:rPr>
          <w:b w:val="0"/>
          <w:bCs w:val="0"/>
          <w:color w:val="auto"/>
          <w:sz w:val="22"/>
          <w:szCs w:val="22"/>
        </w:rPr>
        <w:t>Thus, w</w:t>
      </w:r>
      <w:r w:rsidR="003A4498" w:rsidRPr="003A4498">
        <w:rPr>
          <w:b w:val="0"/>
          <w:bCs w:val="0"/>
          <w:color w:val="auto"/>
          <w:sz w:val="22"/>
          <w:szCs w:val="22"/>
        </w:rPr>
        <w:t xml:space="preserve">e will need to evaluate the impact of </w:t>
      </w:r>
      <w:r w:rsidR="003A4498">
        <w:rPr>
          <w:b w:val="0"/>
          <w:bCs w:val="0"/>
          <w:color w:val="auto"/>
          <w:sz w:val="22"/>
          <w:szCs w:val="22"/>
        </w:rPr>
        <w:t xml:space="preserve">every </w:t>
      </w:r>
      <w:r w:rsidR="003A4498" w:rsidRPr="003A4498">
        <w:rPr>
          <w:b w:val="0"/>
          <w:bCs w:val="0"/>
          <w:color w:val="auto"/>
          <w:sz w:val="22"/>
          <w:szCs w:val="22"/>
        </w:rPr>
        <w:t xml:space="preserve">single </w:t>
      </w:r>
      <w:r w:rsidR="003A4498">
        <w:rPr>
          <w:b w:val="0"/>
          <w:bCs w:val="0"/>
          <w:color w:val="auto"/>
          <w:sz w:val="22"/>
          <w:szCs w:val="22"/>
        </w:rPr>
        <w:t xml:space="preserve">small item used to </w:t>
      </w:r>
      <w:r w:rsidR="003A4498" w:rsidRPr="003A4498">
        <w:rPr>
          <w:b w:val="0"/>
          <w:bCs w:val="0"/>
          <w:color w:val="auto"/>
          <w:sz w:val="22"/>
          <w:szCs w:val="22"/>
        </w:rPr>
        <w:t>p</w:t>
      </w:r>
      <w:r w:rsidR="003A4498">
        <w:rPr>
          <w:b w:val="0"/>
          <w:bCs w:val="0"/>
          <w:color w:val="auto"/>
          <w:sz w:val="22"/>
          <w:szCs w:val="22"/>
        </w:rPr>
        <w:t xml:space="preserve">roduce higher-level entries (e.g., proteins plus water and collagen used to build </w:t>
      </w:r>
      <w:proofErr w:type="gramStart"/>
      <w:r w:rsidR="003A4498">
        <w:rPr>
          <w:b w:val="0"/>
          <w:bCs w:val="0"/>
          <w:color w:val="auto"/>
          <w:sz w:val="22"/>
          <w:szCs w:val="22"/>
        </w:rPr>
        <w:t>extracellular-matrix</w:t>
      </w:r>
      <w:proofErr w:type="gramEnd"/>
      <w:r w:rsidR="003A4498">
        <w:rPr>
          <w:b w:val="0"/>
          <w:bCs w:val="0"/>
          <w:color w:val="auto"/>
          <w:sz w:val="22"/>
          <w:szCs w:val="22"/>
        </w:rPr>
        <w:t>).</w:t>
      </w:r>
      <w:r w:rsidR="003A4498" w:rsidRPr="003A4498">
        <w:rPr>
          <w:b w:val="0"/>
          <w:bCs w:val="0"/>
          <w:color w:val="auto"/>
          <w:sz w:val="22"/>
          <w:szCs w:val="22"/>
        </w:rPr>
        <w:t xml:space="preserve"> </w:t>
      </w:r>
      <w:r>
        <w:rPr>
          <w:b w:val="0"/>
          <w:bCs w:val="0"/>
          <w:color w:val="auto"/>
          <w:sz w:val="22"/>
          <w:szCs w:val="22"/>
        </w:rPr>
        <w:t xml:space="preserve">In the absence of direct entries, we can use similar material as substitutes, and each substitution introduces an error </w:t>
      </w:r>
      <w:r w:rsidR="003A4498">
        <w:rPr>
          <w:b w:val="0"/>
          <w:bCs w:val="0"/>
          <w:color w:val="auto"/>
          <w:sz w:val="22"/>
          <w:szCs w:val="22"/>
        </w:rPr>
        <w:t>that may require a sensitivity analysis to evaluate its impact on the model</w:t>
      </w:r>
      <w:r>
        <w:rPr>
          <w:b w:val="0"/>
          <w:bCs w:val="0"/>
          <w:color w:val="auto"/>
          <w:sz w:val="22"/>
          <w:szCs w:val="22"/>
        </w:rPr>
        <w:t xml:space="preserve">. Until the field systematically generates and publishes inventory data specific to biohybrid inputs, every assessment will rest on a stack of such substitutions, each of which may be quietly biasing the result. </w:t>
      </w:r>
    </w:p>
    <w:p w14:paraId="464A5806" w14:textId="70848757" w:rsidR="00420BC4" w:rsidRPr="00F67C8B" w:rsidRDefault="00000000" w:rsidP="00424FB6">
      <w:pPr>
        <w:pStyle w:val="Heading2"/>
        <w:spacing w:line="480" w:lineRule="auto"/>
        <w:jc w:val="both"/>
        <w:rPr>
          <w:color w:val="auto"/>
        </w:rPr>
      </w:pPr>
      <w:r w:rsidRPr="00F67C8B">
        <w:rPr>
          <w:color w:val="auto"/>
        </w:rPr>
        <w:t xml:space="preserve">3.5. Has the </w:t>
      </w:r>
      <w:proofErr w:type="gramStart"/>
      <w:r w:rsidRPr="00F67C8B">
        <w:rPr>
          <w:color w:val="auto"/>
        </w:rPr>
        <w:t>ecological-advantage</w:t>
      </w:r>
      <w:proofErr w:type="gramEnd"/>
      <w:r w:rsidRPr="00F67C8B">
        <w:rPr>
          <w:color w:val="auto"/>
        </w:rPr>
        <w:t xml:space="preserve"> claim actually been tested?</w:t>
      </w:r>
    </w:p>
    <w:p w14:paraId="2D1FC55C" w14:textId="327CD734" w:rsidR="00420BC4" w:rsidRDefault="005318E0" w:rsidP="000D4EB1">
      <w:pPr>
        <w:spacing w:after="120" w:line="480" w:lineRule="auto"/>
        <w:jc w:val="both"/>
      </w:pPr>
      <w:r w:rsidRPr="005318E0">
        <w:t xml:space="preserve">One early analysis </w:t>
      </w:r>
      <w:r>
        <w:t xml:space="preserve">on </w:t>
      </w:r>
      <w:r w:rsidRPr="005318E0">
        <w:t>biohybrid neural computing</w:t>
      </w:r>
      <w:r>
        <w:t xml:space="preserve"> </w:t>
      </w:r>
      <w:r w:rsidRPr="005318E0">
        <w:t xml:space="preserve">suggests that, at today's maturity, biohybrid systems </w:t>
      </w:r>
      <w:r>
        <w:t>could</w:t>
      </w:r>
      <w:r w:rsidRPr="005318E0">
        <w:t xml:space="preserve"> </w:t>
      </w:r>
      <w:r>
        <w:t xml:space="preserve">potentially </w:t>
      </w:r>
      <w:r w:rsidRPr="005318E0">
        <w:t xml:space="preserve">use more energy per unit mass than biological brain tissue, and possibly more than neuromorphic silicon on matched tasks (Magliaro and Ahluwalia, 2023). </w:t>
      </w:r>
      <w:r>
        <w:t xml:space="preserve">However, </w:t>
      </w:r>
      <w:r w:rsidRPr="005318E0">
        <w:t xml:space="preserve">running a clean test would lean on a shared functional unit, a comparator we agree on, a way to handle life-support energy, </w:t>
      </w:r>
      <w:r>
        <w:t xml:space="preserve">and </w:t>
      </w:r>
      <w:r w:rsidRPr="005318E0">
        <w:t xml:space="preserve">inventory data we can trust. Without those, two careful studies of the same system can land in different places because </w:t>
      </w:r>
      <w:r>
        <w:t>of missing standardized approaches</w:t>
      </w:r>
      <w:r w:rsidRPr="005318E0">
        <w:t xml:space="preserve">. </w:t>
      </w:r>
      <w:r w:rsidR="000D4EB1">
        <w:t>The credibility of biohybrid neural computing as a sustainable alternative to silicon ultimately depends on treating the ecological-advantage claim as something to be tested against evidence.</w:t>
      </w:r>
    </w:p>
    <w:p w14:paraId="36E31278" w14:textId="7266D3BB" w:rsidR="00420BC4" w:rsidRPr="00F67C8B" w:rsidRDefault="00000000" w:rsidP="00DF2DB4">
      <w:pPr>
        <w:pStyle w:val="Heading2"/>
        <w:spacing w:line="480" w:lineRule="auto"/>
        <w:rPr>
          <w:color w:val="auto"/>
        </w:rPr>
      </w:pPr>
      <w:r w:rsidRPr="00F67C8B">
        <w:rPr>
          <w:color w:val="auto"/>
        </w:rPr>
        <w:lastRenderedPageBreak/>
        <w:t>3.6. Where do ethical concerns enter the assessment, if at all?</w:t>
      </w:r>
    </w:p>
    <w:p w14:paraId="32BE7FCB" w14:textId="77CDBF6F" w:rsidR="00420BC4" w:rsidRDefault="00CA7E2C" w:rsidP="00252C44">
      <w:pPr>
        <w:spacing w:after="120" w:line="480" w:lineRule="auto"/>
        <w:jc w:val="both"/>
      </w:pPr>
      <w:r>
        <w:t>Biohybrid systems built from human-derived neural tissue raise concerns that silicon systems do not. Among these are the possibility that sufficiently mature organoids could develop some form of sentience (a question currently unresolved), the need for informed consent from the donors whose cells are used, and biosafety considerations around handling and disposal of living neural tissue. These concerns carry real operational costs including ethics-committee reviews, informed-consent procedures, and specialised containment facilities. LCA is designed to measure environmental burden (energy, emissions, resource use), not ethical burden, and combining the two in a single number may produce results that are neither good LCA nor good ethics. At the same time, excluding these concerns from the assessment entirely may create a different problem: a biohybrid system would then be compared to a silicon system on environmental grounds alone, even though the biohybrid system carries costs (e.g., regulatory, ethical, and logistical) that the silicon comparator does not. The field may need an explicit convention for how to acknowledge these costs alongside the environmental numbers without merging the two. Several options exist, like a separate ethics disclosure section accompanying LCAs, a qualitative scoring framework reported in parallel, or simply a narrative paragraph explaining what the LCA does not cover. No convention has yet been agreed.</w:t>
      </w:r>
    </w:p>
    <w:p w14:paraId="51394D76" w14:textId="77777777" w:rsidR="00420BC4" w:rsidRDefault="00000000" w:rsidP="00EA5877">
      <w:pPr>
        <w:pStyle w:val="Heading1"/>
        <w:spacing w:line="480" w:lineRule="auto"/>
        <w:jc w:val="both"/>
      </w:pPr>
      <w:r>
        <w:t>4. Five principles that must hold while the questions remain open</w:t>
      </w:r>
    </w:p>
    <w:p w14:paraId="3AC11869" w14:textId="56FD31D8" w:rsidR="00EA5877" w:rsidRPr="00EA5877" w:rsidRDefault="00EA5877" w:rsidP="00BE3DDC">
      <w:pPr>
        <w:pStyle w:val="Heading2"/>
        <w:spacing w:before="0" w:line="480" w:lineRule="auto"/>
        <w:jc w:val="both"/>
        <w:rPr>
          <w:b w:val="0"/>
          <w:bCs w:val="0"/>
          <w:color w:val="auto"/>
          <w:sz w:val="22"/>
          <w:szCs w:val="22"/>
        </w:rPr>
      </w:pPr>
      <w:r>
        <w:rPr>
          <w:b w:val="0"/>
          <w:bCs w:val="0"/>
          <w:color w:val="auto"/>
          <w:sz w:val="22"/>
          <w:szCs w:val="22"/>
        </w:rPr>
        <w:t>The principles below are explicitly required by ISO 14040 and ISO 14044 (ISO, 2006a; ISO, 2006b) and the European Product Environmental Footprint method (European Commission, 2021</w:t>
      </w:r>
      <w:proofErr w:type="gramStart"/>
      <w:r>
        <w:rPr>
          <w:b w:val="0"/>
          <w:bCs w:val="0"/>
          <w:color w:val="auto"/>
          <w:sz w:val="22"/>
          <w:szCs w:val="22"/>
        </w:rPr>
        <w:t>), or</w:t>
      </w:r>
      <w:proofErr w:type="gramEnd"/>
      <w:r>
        <w:rPr>
          <w:b w:val="0"/>
          <w:bCs w:val="0"/>
          <w:color w:val="auto"/>
          <w:sz w:val="22"/>
          <w:szCs w:val="22"/>
        </w:rPr>
        <w:t xml:space="preserve"> strongly implied by them. Our contribution is to spell out what each principle means when applied specifically to biohybrid neural computing, and to identify the minimum commitments that rigorous practice calls for even while the open questions remain unresolved.</w:t>
      </w:r>
    </w:p>
    <w:p w14:paraId="13A5A48D" w14:textId="33BC20C5" w:rsidR="00601D11" w:rsidRDefault="00EA5877" w:rsidP="00601D11">
      <w:pPr>
        <w:pStyle w:val="Heading2"/>
        <w:spacing w:line="480" w:lineRule="auto"/>
        <w:jc w:val="both"/>
      </w:pPr>
      <w:r>
        <w:rPr>
          <w:color w:val="auto"/>
          <w:sz w:val="22"/>
          <w:szCs w:val="22"/>
        </w:rPr>
        <w:lastRenderedPageBreak/>
        <w:t>1) Declare before measuring</w:t>
      </w:r>
      <w:r>
        <w:rPr>
          <w:b w:val="0"/>
          <w:bCs w:val="0"/>
          <w:color w:val="auto"/>
          <w:sz w:val="22"/>
          <w:szCs w:val="22"/>
        </w:rPr>
        <w:t xml:space="preserve">. Methodological choices on the functional unit, the boundary of what is and is not included in the system, and the comparator against which environmental impacts are benchmarked should be specified before data collection begins, not adjusted afterwards </w:t>
      </w:r>
      <w:proofErr w:type="gramStart"/>
      <w:r>
        <w:rPr>
          <w:b w:val="0"/>
          <w:bCs w:val="0"/>
          <w:color w:val="auto"/>
          <w:sz w:val="22"/>
          <w:szCs w:val="22"/>
        </w:rPr>
        <w:t>in light of</w:t>
      </w:r>
      <w:proofErr w:type="gramEnd"/>
      <w:r>
        <w:rPr>
          <w:b w:val="0"/>
          <w:bCs w:val="0"/>
          <w:color w:val="auto"/>
          <w:sz w:val="22"/>
          <w:szCs w:val="22"/>
        </w:rPr>
        <w:t xml:space="preserve"> preliminary numbers. This mirrors the principle of pre-registration now widely adopted in clinical trials and empirical psychology. Every use of substitute data should be named explicitly in the methods section, together with the practitioner's best estimate of which direction the substitution is likely to bias the result (whether it probably overstates or understates the true environmental impact).</w:t>
      </w:r>
    </w:p>
    <w:p w14:paraId="03A953BF" w14:textId="7E994E1A" w:rsidR="00420BC4" w:rsidRDefault="00A44028" w:rsidP="00A44028">
      <w:pPr>
        <w:pStyle w:val="ListParagraph"/>
        <w:spacing w:line="480" w:lineRule="auto"/>
        <w:jc w:val="both"/>
      </w:pPr>
      <w:r>
        <w:rPr>
          <w:b/>
          <w:bCs/>
        </w:rPr>
        <w:t>2) Attributional before consequential</w:t>
      </w:r>
      <w:r>
        <w:t xml:space="preserve">. Attributional LCA describes the environmental burdens of a system as it currently exists (e.g., the energy, materials, and emissions consumed). Consequential LCA attempts to describe how environmental burdens in the wider world would change if one technology were to replace another. Consequential LCA requires modelling how markets would respond to the new technology, what production it would displace, how the technology's impacts would scale up at commercial volumes, and how any efficiency gains might be offset by increased overall use. </w:t>
      </w:r>
      <w:r w:rsidR="00E00A15" w:rsidRPr="00E00A15">
        <w:t xml:space="preserve">Two questions sit close together but aren't the same. What does a current system consume? And what would happen if biohybrid systems replaced silicon ones at scale? Attributional LCA gives us tools for the first. </w:t>
      </w:r>
      <w:r w:rsidR="00E00A15">
        <w:t xml:space="preserve">To answer the second question, we would </w:t>
      </w:r>
      <w:r w:rsidR="00E00A15" w:rsidRPr="00E00A15">
        <w:t>need to model how production might shift, what would be displaced, and how aggregate impacts would scale at commercial volumes</w:t>
      </w:r>
      <w:r w:rsidR="00E00A15">
        <w:t xml:space="preserve"> but,</w:t>
      </w:r>
      <w:r w:rsidR="00E00A15" w:rsidRPr="00E00A15">
        <w:t xml:space="preserve"> </w:t>
      </w:r>
      <w:r w:rsidR="00E00A15">
        <w:t xml:space="preserve">currently, </w:t>
      </w:r>
      <w:r w:rsidR="00E00A15" w:rsidRPr="00E00A15">
        <w:t>for biohybrid systems we do</w:t>
      </w:r>
      <w:r w:rsidR="00E00A15">
        <w:t xml:space="preserve"> no</w:t>
      </w:r>
      <w:r w:rsidR="00E00A15" w:rsidRPr="00E00A15">
        <w:t>t have most of that information yet, given the field's bench-scale maturity (</w:t>
      </w:r>
      <w:r w:rsidR="00E00A15">
        <w:t xml:space="preserve">e.g., </w:t>
      </w:r>
      <w:r w:rsidR="00E00A15" w:rsidRPr="00E00A15">
        <w:t>TRL 3–4). For now, we can say more about what current systems use than about what they might one day replace. Scale-up estimates belong with the second question, and it's clearer to label them that way rather than treating them as extensions of bench-scale numbers.</w:t>
      </w:r>
    </w:p>
    <w:p w14:paraId="7CA8FB46" w14:textId="0879B10F" w:rsidR="00AF4D9E" w:rsidRDefault="00A44028" w:rsidP="00AF4D9E">
      <w:pPr>
        <w:pStyle w:val="Heading2"/>
        <w:spacing w:line="480" w:lineRule="auto"/>
        <w:jc w:val="both"/>
        <w:rPr>
          <w:b w:val="0"/>
          <w:bCs w:val="0"/>
          <w:color w:val="auto"/>
          <w:sz w:val="22"/>
          <w:szCs w:val="22"/>
        </w:rPr>
      </w:pPr>
      <w:r>
        <w:rPr>
          <w:color w:val="auto"/>
          <w:sz w:val="22"/>
          <w:szCs w:val="22"/>
        </w:rPr>
        <w:t>3)</w:t>
      </w:r>
      <w:r>
        <w:rPr>
          <w:b w:val="0"/>
          <w:bCs w:val="0"/>
          <w:color w:val="auto"/>
          <w:sz w:val="22"/>
          <w:szCs w:val="22"/>
        </w:rPr>
        <w:t xml:space="preserve"> </w:t>
      </w:r>
      <w:r>
        <w:rPr>
          <w:color w:val="auto"/>
          <w:sz w:val="22"/>
          <w:szCs w:val="22"/>
        </w:rPr>
        <w:t xml:space="preserve">Distinguish </w:t>
      </w:r>
      <w:r w:rsidR="00630205">
        <w:rPr>
          <w:color w:val="auto"/>
          <w:sz w:val="22"/>
          <w:szCs w:val="22"/>
        </w:rPr>
        <w:t xml:space="preserve">the </w:t>
      </w:r>
      <w:r>
        <w:rPr>
          <w:color w:val="auto"/>
          <w:sz w:val="22"/>
          <w:szCs w:val="22"/>
        </w:rPr>
        <w:t>component</w:t>
      </w:r>
      <w:r w:rsidR="00630205">
        <w:rPr>
          <w:color w:val="auto"/>
          <w:sz w:val="22"/>
          <w:szCs w:val="22"/>
        </w:rPr>
        <w:t>s</w:t>
      </w:r>
      <w:r>
        <w:rPr>
          <w:color w:val="auto"/>
          <w:sz w:val="22"/>
          <w:szCs w:val="22"/>
        </w:rPr>
        <w:t xml:space="preserve"> from </w:t>
      </w:r>
      <w:r w:rsidR="00630205">
        <w:rPr>
          <w:color w:val="auto"/>
          <w:sz w:val="22"/>
          <w:szCs w:val="22"/>
        </w:rPr>
        <w:t xml:space="preserve">the </w:t>
      </w:r>
      <w:r>
        <w:rPr>
          <w:color w:val="auto"/>
          <w:sz w:val="22"/>
          <w:szCs w:val="22"/>
        </w:rPr>
        <w:t>system</w:t>
      </w:r>
      <w:r>
        <w:rPr>
          <w:b w:val="0"/>
          <w:bCs w:val="0"/>
          <w:color w:val="auto"/>
          <w:sz w:val="22"/>
          <w:szCs w:val="22"/>
        </w:rPr>
        <w:t xml:space="preserve">. </w:t>
      </w:r>
      <w:r w:rsidR="00A828AF" w:rsidRPr="00A828AF">
        <w:rPr>
          <w:b w:val="0"/>
          <w:bCs w:val="0"/>
          <w:color w:val="auto"/>
          <w:sz w:val="22"/>
          <w:szCs w:val="22"/>
        </w:rPr>
        <w:t xml:space="preserve">Biological computing via brain organoids requires microelectrode arrays that record and stimulate the neural network, the amplifier and </w:t>
      </w:r>
      <w:r w:rsidR="00A828AF" w:rsidRPr="00A828AF">
        <w:rPr>
          <w:b w:val="0"/>
          <w:bCs w:val="0"/>
          <w:color w:val="auto"/>
          <w:sz w:val="22"/>
          <w:szCs w:val="22"/>
        </w:rPr>
        <w:lastRenderedPageBreak/>
        <w:t>signal-processing hardware that turn raw electrical signals into usable data, and the human operator who defines the task.</w:t>
      </w:r>
      <w:r w:rsidR="00A828AF">
        <w:rPr>
          <w:b w:val="0"/>
          <w:bCs w:val="0"/>
          <w:color w:val="auto"/>
          <w:sz w:val="22"/>
          <w:szCs w:val="22"/>
        </w:rPr>
        <w:t xml:space="preserve"> </w:t>
      </w:r>
      <w:r>
        <w:rPr>
          <w:b w:val="0"/>
          <w:bCs w:val="0"/>
          <w:color w:val="auto"/>
          <w:sz w:val="22"/>
          <w:szCs w:val="22"/>
        </w:rPr>
        <w:t xml:space="preserve">Reporting the power consumption of an organoid in </w:t>
      </w:r>
      <w:proofErr w:type="gramStart"/>
      <w:r>
        <w:rPr>
          <w:b w:val="0"/>
          <w:bCs w:val="0"/>
          <w:color w:val="auto"/>
          <w:sz w:val="22"/>
          <w:szCs w:val="22"/>
        </w:rPr>
        <w:t>isolation, and</w:t>
      </w:r>
      <w:proofErr w:type="gramEnd"/>
      <w:r>
        <w:rPr>
          <w:b w:val="0"/>
          <w:bCs w:val="0"/>
          <w:color w:val="auto"/>
          <w:sz w:val="22"/>
          <w:szCs w:val="22"/>
        </w:rPr>
        <w:t xml:space="preserve"> comparing that number to the power consumption of a data centre, is comparing quantities that are not commensurable, thinking about the organoid as a computational system on its own may be a mistake. Both component-level and system-level assessments are legitimate, but they answer different questions. Component measurements are useful for identifying where within a system the environmental burdens concentrate, and for guiding redesign. System measurements describe what the functional object </w:t>
      </w:r>
      <w:proofErr w:type="gramStart"/>
      <w:r>
        <w:rPr>
          <w:b w:val="0"/>
          <w:bCs w:val="0"/>
          <w:color w:val="auto"/>
          <w:sz w:val="22"/>
          <w:szCs w:val="22"/>
        </w:rPr>
        <w:t>actually costs</w:t>
      </w:r>
      <w:proofErr w:type="gramEnd"/>
      <w:r>
        <w:rPr>
          <w:b w:val="0"/>
          <w:bCs w:val="0"/>
          <w:color w:val="auto"/>
          <w:sz w:val="22"/>
          <w:szCs w:val="22"/>
        </w:rPr>
        <w:t>. Neither can substitute for the other.</w:t>
      </w:r>
    </w:p>
    <w:p w14:paraId="0D6251D3" w14:textId="6016E418" w:rsidR="00420BC4" w:rsidRDefault="00AF4D9E" w:rsidP="00782F4B">
      <w:pPr>
        <w:pStyle w:val="ListParagraph"/>
        <w:spacing w:line="480" w:lineRule="auto"/>
        <w:jc w:val="both"/>
      </w:pPr>
      <w:r>
        <w:rPr>
          <w:b/>
          <w:bCs/>
        </w:rPr>
        <w:t xml:space="preserve">4) Consider the invisible. </w:t>
      </w:r>
      <w:r>
        <w:t>The environmental burdens of biohybrid systems are not always where a reader might expect them. Some of the highest costs may come from inputs that are small in mass, unfamiliar to non-specialists, or produced through supply chains that are difficult to inspect. Four categories deserve particular attention: (</w:t>
      </w:r>
      <w:proofErr w:type="spellStart"/>
      <w:r>
        <w:t>i</w:t>
      </w:r>
      <w:proofErr w:type="spellEnd"/>
      <w:r>
        <w:t xml:space="preserve">) the recombinant signalling proteins used to grow and mature neural tissue are used at microgram quantities per experiment, but each microgram carries a large upstream cost because the proteins are produced by mammalian cell culture at scales and purities originally developed for pharmaceutical manufacturing; (ii) animal-derived matrix materials come from biological supply chains whose upstream environmental footprint is rarely documented in a form usable for LCA; (iii) certain metals used in neural-recording electrodes (e.g., iridium) are classified by the European Commission as "critical raw materials" because their supply is geopolitically concentrated and their extraction is environmentally costly. The mass of iridium in a single microelectrode array is tiny, but the per-gram environmental impact can be very high; </w:t>
      </w:r>
      <w:r w:rsidR="006069C2" w:rsidRPr="006069C2">
        <w:t xml:space="preserve">(iv) the conventional computing infrastructure used to process, decode, and interpret the signals recorded from biohybrid systems is often treated as institutionally separate from the wet-lab experiment. From an LCA perspective this separation is artificial: the dry-lab compute is part of the functional object, and its energy and hardware footprints should be included alongside the wet-lab inputs; (v) end-of-life biohazard waste (e.g., spent media, dead tissue, </w:t>
      </w:r>
      <w:r w:rsidR="006069C2" w:rsidRPr="006069C2">
        <w:lastRenderedPageBreak/>
        <w:t>contaminated consumables) requires regulated incineration, whose energy and emissions are typically handled by external contractors and rarely included in laboratory inventories</w:t>
      </w:r>
      <w:r w:rsidR="00BA6942" w:rsidRPr="00BA6942">
        <w:t>.</w:t>
      </w:r>
      <w:r>
        <w:t xml:space="preserve"> From an LCA perspective this separation is artificial: the dry-lab compute is part of the functional object, and its energy and hardware footprints should be included alongside the wet-lab inputs. Standard LCA practice permits excluding inputs below a small mass threshold (commonly 1% of total mass), on the assumption that such inputs contribute negligibly to overall impact. For biohybrid systems this assumption breaks down, because several of the most important inputs are low in mass but high in per-unit impact. Any such items should be retained in the inventory and flagged explicitly.</w:t>
      </w:r>
    </w:p>
    <w:p w14:paraId="2301D760" w14:textId="56A58E07" w:rsidR="00782F4B" w:rsidRDefault="00782F4B" w:rsidP="00782F4B">
      <w:pPr>
        <w:pStyle w:val="ListParagraph"/>
        <w:spacing w:line="480" w:lineRule="auto"/>
        <w:jc w:val="both"/>
      </w:pPr>
      <w:r>
        <w:rPr>
          <w:b/>
          <w:bCs/>
        </w:rPr>
        <w:t>5) Time is part of the functional unit.</w:t>
      </w:r>
      <w:r>
        <w:t xml:space="preserve"> A GPU is ready to compute from the moment it is installed. Its manufacturing cost is paid up front and is then spread out across the three to five years over which the chip is typically used for a wide variety of tasks. A biohybrid system works very differently. Before any meaningful computation can be performed, an organoid must be grown and matured, and requires continuous incubator operation, regular supplementation with growth factors, a</w:t>
      </w:r>
      <w:r w:rsidR="00A828AF">
        <w:t xml:space="preserve">nd </w:t>
      </w:r>
      <w:r>
        <w:t>electrode hardware. The life-support infrastructure that sustains this maturation period continues to run throughout the operational life of the system as well. The environmental cost of a biohybrid system is therefore not front-loaded (as it is for silicon) but accumulates continuously throughout the system's existence.</w:t>
      </w:r>
    </w:p>
    <w:p w14:paraId="13FD362F" w14:textId="4E58F95D" w:rsidR="00420BC4" w:rsidRDefault="00782F4B" w:rsidP="00782F4B">
      <w:pPr>
        <w:pStyle w:val="ListParagraph"/>
        <w:spacing w:line="480" w:lineRule="auto"/>
        <w:jc w:val="both"/>
      </w:pPr>
      <w:r>
        <w:t xml:space="preserve">This temporal asymmetry is fundamentally different from silicon's and is not well captured by a single "impact per computation" number. Attributing the full cost of the maturation prelude to a single computation would make biohybrid systems look unreasonably expensive; attributing none of it would make them look unrealistically cheap. The honest treatment spreads the maturation and life-support burdens across the system's total computational output over its lifetime (the allocation problem introduced earlier) and in addition, reports how environmental burdens accumulate over time, not only the final total. In practice, this means publishing two figures alongside the headline impact number: the curve of cumulative burden over the system's lifetime </w:t>
      </w:r>
      <w:r>
        <w:lastRenderedPageBreak/>
        <w:t>(showing when costs are incurred), and a statement of how the total lifetime computational output was estimated for the amortisation.</w:t>
      </w:r>
    </w:p>
    <w:p w14:paraId="741457E7" w14:textId="31019B7E" w:rsidR="00420BC4" w:rsidRDefault="00000000" w:rsidP="00DF2DB4">
      <w:pPr>
        <w:pStyle w:val="Heading1"/>
        <w:spacing w:line="480" w:lineRule="auto"/>
      </w:pPr>
      <w:r>
        <w:t>5. Future directions</w:t>
      </w:r>
    </w:p>
    <w:p w14:paraId="0446B6A2" w14:textId="7160F6D8" w:rsidR="001B4ED2" w:rsidRDefault="001B4ED2" w:rsidP="00F67C8B">
      <w:pPr>
        <w:spacing w:after="120" w:line="480" w:lineRule="auto"/>
        <w:jc w:val="both"/>
      </w:pPr>
      <w:r>
        <w:t>We identify three pieces of infrastructure that the biohybrid-computing community, together with adjacent communities in industrial ecology, semiconductor LCA, and machine-learning sustainability can develop.</w:t>
      </w:r>
    </w:p>
    <w:p w14:paraId="6D191764" w14:textId="1DC6B0A0" w:rsidR="001B4ED2" w:rsidRDefault="001B4ED2" w:rsidP="001B4ED2">
      <w:pPr>
        <w:spacing w:after="120" w:line="480" w:lineRule="auto"/>
        <w:ind w:firstLine="720"/>
        <w:jc w:val="both"/>
      </w:pPr>
      <w:r>
        <w:t xml:space="preserve">First, shared life-cycle inventory data for biohybrid-specific inputs: reference databases such as </w:t>
      </w:r>
      <w:proofErr w:type="spellStart"/>
      <w:r>
        <w:t>Ecoinvent</w:t>
      </w:r>
      <w:proofErr w:type="spellEnd"/>
      <w:r>
        <w:t xml:space="preserve">, </w:t>
      </w:r>
      <w:proofErr w:type="spellStart"/>
      <w:r>
        <w:t>Sphera</w:t>
      </w:r>
      <w:proofErr w:type="spellEnd"/>
      <w:r>
        <w:t>, and the European Environmental Footprint reference package need to be updated with missing entries (e.g., recombinant growth factors, animal-derived matrices, iridium-oxide thin films). The cultivated-meat community's ongoing effort to characterise cell-culture media offers a useful model of what this might look like for biohybrid inputs (Sinke et al., 2023). Second, broader expertise coverage: a rigorous biohybrid LCA draws on stem-cell biology, microfabrication, semiconductor life-cycle assessment, ML, industrial ecology, and information theory. It may therefore be helpful for the community to normalise multi-authored assessments with explicitly disclosed expertise coverage, so that gaps can be declared openly. Third, life-cycle inventory alongside performance benchmarks: under the "Green AI" banner (Schwartz et al., 2020) the ML community has begun to report computational cost alongside accuracy. An analogous convention for biohybrid computing would make the environmental implications of published performance more visible.</w:t>
      </w:r>
    </w:p>
    <w:p w14:paraId="1C963D81" w14:textId="0ED94416" w:rsidR="003A7F8F" w:rsidRDefault="001B4ED2" w:rsidP="001B4ED2">
      <w:pPr>
        <w:spacing w:after="120" w:line="480" w:lineRule="auto"/>
        <w:ind w:firstLine="720"/>
        <w:jc w:val="both"/>
      </w:pPr>
      <w:r>
        <w:t xml:space="preserve">A single LCA, including any that might follow this Perspective, is best understood as a hypothesis within a space of defensible analyses rather than a final answer about the field. Field-level conclusions require collective effort of a kind no individual study can deliver. The operational protocols required to implement the principles discussed fall outside the scope of a Perspective of this length, and we hope they will be taken up in dedicated methodological work to follow. We </w:t>
      </w:r>
      <w:r>
        <w:lastRenderedPageBreak/>
        <w:t xml:space="preserve">see biohybrid neural computing as a genuinely exciting direction that draws on a rare convergence of neuroscience, bioengineering, and </w:t>
      </w:r>
      <w:r w:rsidR="0064310C">
        <w:t>ML</w:t>
      </w:r>
      <w:r>
        <w:t>, and one worth the rigorous environmental assessment it has not yet received. With the right methodological foundation in place, biohybrid computing could become a meaningful contributor to a more sustainable computing landscape. Our aim in this Perspective is to help the field build that foundation, so that the environmental case for biohybrid neural computing can be made with confidence.</w:t>
      </w:r>
    </w:p>
    <w:p w14:paraId="6F3162DA" w14:textId="77777777" w:rsidR="00420BC4" w:rsidRDefault="00000000" w:rsidP="00DF2DB4">
      <w:pPr>
        <w:pStyle w:val="Heading1"/>
        <w:spacing w:line="480" w:lineRule="auto"/>
      </w:pPr>
      <w:r>
        <w:t>Declarations</w:t>
      </w:r>
    </w:p>
    <w:p w14:paraId="51BA09CA" w14:textId="77777777" w:rsidR="00420BC4" w:rsidRDefault="00000000" w:rsidP="00DF2DB4">
      <w:pPr>
        <w:spacing w:after="120" w:line="480" w:lineRule="auto"/>
        <w:jc w:val="both"/>
      </w:pPr>
      <w:r>
        <w:rPr>
          <w:b/>
          <w:bCs/>
        </w:rPr>
        <w:t xml:space="preserve">Funding. </w:t>
      </w:r>
      <w:r>
        <w:t>No dedicated external funding supported the preparation of this Perspective.</w:t>
      </w:r>
    </w:p>
    <w:p w14:paraId="6916699D" w14:textId="77777777" w:rsidR="00420BC4" w:rsidRDefault="00000000" w:rsidP="00DF2DB4">
      <w:pPr>
        <w:spacing w:after="120" w:line="480" w:lineRule="auto"/>
        <w:jc w:val="both"/>
      </w:pPr>
      <w:r>
        <w:rPr>
          <w:b/>
          <w:bCs/>
        </w:rPr>
        <w:t xml:space="preserve">Data availability. </w:t>
      </w:r>
      <w:r>
        <w:t>No primary data were generated for this Perspective. All numerical figures cited in the text are drawn from the referenced literature.</w:t>
      </w:r>
    </w:p>
    <w:p w14:paraId="1BDEA712" w14:textId="77777777" w:rsidR="00420BC4" w:rsidRDefault="00000000">
      <w:pPr>
        <w:pStyle w:val="Heading1"/>
      </w:pPr>
      <w:r>
        <w:t>References</w:t>
      </w:r>
    </w:p>
    <w:p w14:paraId="47BC1AC1" w14:textId="77777777" w:rsidR="00420BC4" w:rsidRDefault="00000000">
      <w:pPr>
        <w:spacing w:after="100"/>
        <w:ind w:left="360" w:hanging="360"/>
      </w:pPr>
      <w:r>
        <w:rPr>
          <w:sz w:val="20"/>
          <w:szCs w:val="20"/>
        </w:rPr>
        <w:t xml:space="preserve">Davies, M., Srinivasa, N., Lin, T.-H., Chinya, G., Cao, Y., Choday, S.H., Dimou, G., Joshi, P., Imam, N., Jain, S., et al. (2018). </w:t>
      </w:r>
      <w:proofErr w:type="spellStart"/>
      <w:r>
        <w:rPr>
          <w:sz w:val="20"/>
          <w:szCs w:val="20"/>
        </w:rPr>
        <w:t>Loihi</w:t>
      </w:r>
      <w:proofErr w:type="spellEnd"/>
      <w:r>
        <w:rPr>
          <w:sz w:val="20"/>
          <w:szCs w:val="20"/>
        </w:rPr>
        <w:t>: A Neuromorphic Manycore Processor with On-Chip Learning. IEEE Micro 38(1), 82–99.</w:t>
      </w:r>
    </w:p>
    <w:p w14:paraId="165B4751" w14:textId="77777777" w:rsidR="00420BC4" w:rsidRDefault="00000000">
      <w:pPr>
        <w:spacing w:after="100"/>
        <w:ind w:left="360" w:hanging="360"/>
      </w:pPr>
      <w:r>
        <w:rPr>
          <w:sz w:val="20"/>
          <w:szCs w:val="20"/>
        </w:rPr>
        <w:t>European Commission (2021). Commission Recommendation (EU) 2021/2279 of 15 December 2021 on the use of the Environmental Footprint methods to measure and communicate the life cycle environmental performance of products and organisations. OJ L 471, 1–396.</w:t>
      </w:r>
    </w:p>
    <w:p w14:paraId="57D21B5E" w14:textId="77777777" w:rsidR="00420BC4" w:rsidRDefault="00000000">
      <w:pPr>
        <w:spacing w:after="100"/>
        <w:ind w:left="360" w:hanging="360"/>
      </w:pPr>
      <w:r>
        <w:rPr>
          <w:sz w:val="20"/>
          <w:szCs w:val="20"/>
        </w:rPr>
        <w:t xml:space="preserve">Falk, S., </w:t>
      </w:r>
      <w:proofErr w:type="spellStart"/>
      <w:r>
        <w:rPr>
          <w:sz w:val="20"/>
          <w:szCs w:val="20"/>
        </w:rPr>
        <w:t>Ekchajzer</w:t>
      </w:r>
      <w:proofErr w:type="spellEnd"/>
      <w:r>
        <w:rPr>
          <w:sz w:val="20"/>
          <w:szCs w:val="20"/>
        </w:rPr>
        <w:t xml:space="preserve">, D., </w:t>
      </w:r>
      <w:proofErr w:type="spellStart"/>
      <w:r>
        <w:rPr>
          <w:sz w:val="20"/>
          <w:szCs w:val="20"/>
        </w:rPr>
        <w:t>Pirson</w:t>
      </w:r>
      <w:proofErr w:type="spellEnd"/>
      <w:r>
        <w:rPr>
          <w:sz w:val="20"/>
          <w:szCs w:val="20"/>
        </w:rPr>
        <w:t xml:space="preserve">, T., Lees-Perasso, E., </w:t>
      </w:r>
      <w:proofErr w:type="spellStart"/>
      <w:r>
        <w:rPr>
          <w:sz w:val="20"/>
          <w:szCs w:val="20"/>
        </w:rPr>
        <w:t>Wattiez</w:t>
      </w:r>
      <w:proofErr w:type="spellEnd"/>
      <w:r>
        <w:rPr>
          <w:sz w:val="20"/>
          <w:szCs w:val="20"/>
        </w:rPr>
        <w:t xml:space="preserve">, A., Biber-Freudenberger, L., Luccioni, S., and van </w:t>
      </w:r>
      <w:proofErr w:type="spellStart"/>
      <w:r>
        <w:rPr>
          <w:sz w:val="20"/>
          <w:szCs w:val="20"/>
        </w:rPr>
        <w:t>Wynsberghe</w:t>
      </w:r>
      <w:proofErr w:type="spellEnd"/>
      <w:r>
        <w:rPr>
          <w:sz w:val="20"/>
          <w:szCs w:val="20"/>
        </w:rPr>
        <w:t>, A. (2025). More than Carbon: Cradle-to-Grave environmental impacts of GenAI training on the Nvidia A100 GPU. arXiv:2509.00093.</w:t>
      </w:r>
    </w:p>
    <w:p w14:paraId="2ED260B1" w14:textId="77777777" w:rsidR="00420BC4" w:rsidRDefault="00000000">
      <w:pPr>
        <w:spacing w:after="100"/>
        <w:ind w:left="360" w:hanging="360"/>
      </w:pPr>
      <w:r>
        <w:rPr>
          <w:sz w:val="20"/>
          <w:szCs w:val="20"/>
        </w:rPr>
        <w:t xml:space="preserve">Gonzalez, H.A., Huang, J., Kelber, F., Nazeer, K.K., Langer, T., Liu, C., Lohrmann, M., Rostami, A., Schöne, M., </w:t>
      </w:r>
      <w:proofErr w:type="spellStart"/>
      <w:r>
        <w:rPr>
          <w:sz w:val="20"/>
          <w:szCs w:val="20"/>
        </w:rPr>
        <w:t>Vogginger</w:t>
      </w:r>
      <w:proofErr w:type="spellEnd"/>
      <w:r>
        <w:rPr>
          <w:sz w:val="20"/>
          <w:szCs w:val="20"/>
        </w:rPr>
        <w:t>, B., et al. (2024). SpiNNaker2: A Large-Scale Neuromorphic System for Event-Based and Asynchronous Machine Learning. arXiv:2401.04491.</w:t>
      </w:r>
    </w:p>
    <w:p w14:paraId="46CBA2CD" w14:textId="77777777" w:rsidR="00420BC4" w:rsidRDefault="00000000">
      <w:pPr>
        <w:spacing w:after="100"/>
        <w:ind w:left="360" w:hanging="360"/>
      </w:pPr>
      <w:r>
        <w:rPr>
          <w:sz w:val="20"/>
          <w:szCs w:val="20"/>
        </w:rPr>
        <w:t>Gupta, U., Kim, Y.G., Lee, S., Tse, J., Lee, H.-H.S., Wei, G.-Y., Brooks, D., and Wu, C.-J. (2022). Chasing carbon: the elusive environmental footprint of computing. IEEE Micro 42, 37–47.</w:t>
      </w:r>
    </w:p>
    <w:p w14:paraId="3BE42CEF" w14:textId="77777777" w:rsidR="00420BC4" w:rsidRDefault="00000000">
      <w:pPr>
        <w:spacing w:after="100"/>
        <w:ind w:left="360" w:hanging="360"/>
      </w:pPr>
      <w:r>
        <w:rPr>
          <w:sz w:val="20"/>
          <w:szCs w:val="20"/>
        </w:rPr>
        <w:t>ISO (2006a). ISO 14040:2006 Environmental management — Life cycle assessment — Principles and framework. International Organization for Standardization, Geneva.</w:t>
      </w:r>
    </w:p>
    <w:p w14:paraId="3B9C9F8C" w14:textId="77777777" w:rsidR="00420BC4" w:rsidRDefault="00000000">
      <w:pPr>
        <w:spacing w:after="100"/>
        <w:ind w:left="360" w:hanging="360"/>
      </w:pPr>
      <w:r>
        <w:rPr>
          <w:sz w:val="20"/>
          <w:szCs w:val="20"/>
        </w:rPr>
        <w:t>ISO (2006b). ISO 14044:2006 Environmental management — Life cycle assessment — Requirements and guidelines (including Amendment 1:2017 and Amendment 2:2020). International Organization for Standardization, Geneva.</w:t>
      </w:r>
    </w:p>
    <w:p w14:paraId="02A185B8" w14:textId="77777777" w:rsidR="00420BC4" w:rsidRDefault="00000000">
      <w:pPr>
        <w:spacing w:after="100"/>
        <w:ind w:left="360" w:hanging="360"/>
      </w:pPr>
      <w:r>
        <w:rPr>
          <w:sz w:val="20"/>
          <w:szCs w:val="20"/>
        </w:rPr>
        <w:t xml:space="preserve">Jordan, F.D., Kutter, M., Comby, J.-M., </w:t>
      </w:r>
      <w:proofErr w:type="spellStart"/>
      <w:r>
        <w:rPr>
          <w:sz w:val="20"/>
          <w:szCs w:val="20"/>
        </w:rPr>
        <w:t>Brozzi</w:t>
      </w:r>
      <w:proofErr w:type="spellEnd"/>
      <w:r>
        <w:rPr>
          <w:sz w:val="20"/>
          <w:szCs w:val="20"/>
        </w:rPr>
        <w:t xml:space="preserve">, F., and </w:t>
      </w:r>
      <w:proofErr w:type="spellStart"/>
      <w:r>
        <w:rPr>
          <w:sz w:val="20"/>
          <w:szCs w:val="20"/>
        </w:rPr>
        <w:t>Kurtys</w:t>
      </w:r>
      <w:proofErr w:type="spellEnd"/>
      <w:r>
        <w:rPr>
          <w:sz w:val="20"/>
          <w:szCs w:val="20"/>
        </w:rPr>
        <w:t xml:space="preserve">, E. (2024). Open and remotely accessible </w:t>
      </w:r>
      <w:proofErr w:type="spellStart"/>
      <w:r>
        <w:rPr>
          <w:sz w:val="20"/>
          <w:szCs w:val="20"/>
        </w:rPr>
        <w:t>Neuroplatform</w:t>
      </w:r>
      <w:proofErr w:type="spellEnd"/>
      <w:r>
        <w:rPr>
          <w:sz w:val="20"/>
          <w:szCs w:val="20"/>
        </w:rPr>
        <w:t xml:space="preserve"> for research in wetware computing. Front. </w:t>
      </w:r>
      <w:proofErr w:type="spellStart"/>
      <w:r>
        <w:rPr>
          <w:sz w:val="20"/>
          <w:szCs w:val="20"/>
        </w:rPr>
        <w:t>Artif</w:t>
      </w:r>
      <w:proofErr w:type="spellEnd"/>
      <w:r>
        <w:rPr>
          <w:sz w:val="20"/>
          <w:szCs w:val="20"/>
        </w:rPr>
        <w:t xml:space="preserve">. </w:t>
      </w:r>
      <w:proofErr w:type="spellStart"/>
      <w:r>
        <w:rPr>
          <w:sz w:val="20"/>
          <w:szCs w:val="20"/>
        </w:rPr>
        <w:t>Intell</w:t>
      </w:r>
      <w:proofErr w:type="spellEnd"/>
      <w:r>
        <w:rPr>
          <w:sz w:val="20"/>
          <w:szCs w:val="20"/>
        </w:rPr>
        <w:t>. 7, 1376042.</w:t>
      </w:r>
    </w:p>
    <w:p w14:paraId="09939EBE" w14:textId="77777777" w:rsidR="00420BC4" w:rsidRPr="00340963" w:rsidRDefault="00000000">
      <w:pPr>
        <w:spacing w:after="100"/>
        <w:ind w:left="360" w:hanging="360"/>
      </w:pPr>
      <w:r>
        <w:rPr>
          <w:sz w:val="20"/>
          <w:szCs w:val="20"/>
        </w:rPr>
        <w:t xml:space="preserve">Kagan, B.J., Kitchen, A.C., Tran, N.T., </w:t>
      </w:r>
      <w:proofErr w:type="spellStart"/>
      <w:r>
        <w:rPr>
          <w:sz w:val="20"/>
          <w:szCs w:val="20"/>
        </w:rPr>
        <w:t>Habibollahi</w:t>
      </w:r>
      <w:proofErr w:type="spellEnd"/>
      <w:r>
        <w:rPr>
          <w:sz w:val="20"/>
          <w:szCs w:val="20"/>
        </w:rPr>
        <w:t xml:space="preserve">, F., </w:t>
      </w:r>
      <w:proofErr w:type="spellStart"/>
      <w:r>
        <w:rPr>
          <w:sz w:val="20"/>
          <w:szCs w:val="20"/>
        </w:rPr>
        <w:t>Khajehnejad</w:t>
      </w:r>
      <w:proofErr w:type="spellEnd"/>
      <w:r>
        <w:rPr>
          <w:sz w:val="20"/>
          <w:szCs w:val="20"/>
        </w:rPr>
        <w:t>, M., Parker, B.J., Bhat, A., Rollo, B., Razi, A., and Friston, K.J. (2022). In vitro neurons learn and exhibit sentience when embodied in a simulated game-world. Neuron 110, 3952–3969.</w:t>
      </w:r>
    </w:p>
    <w:p w14:paraId="0D316B0C" w14:textId="77777777" w:rsidR="00420BC4" w:rsidRDefault="00000000">
      <w:pPr>
        <w:spacing w:after="100"/>
        <w:ind w:left="360" w:hanging="360"/>
      </w:pPr>
      <w:proofErr w:type="spellStart"/>
      <w:r>
        <w:rPr>
          <w:sz w:val="20"/>
          <w:szCs w:val="20"/>
        </w:rPr>
        <w:lastRenderedPageBreak/>
        <w:t>Khajehnejad</w:t>
      </w:r>
      <w:proofErr w:type="spellEnd"/>
      <w:r>
        <w:rPr>
          <w:sz w:val="20"/>
          <w:szCs w:val="20"/>
        </w:rPr>
        <w:t xml:space="preserve">, M., </w:t>
      </w:r>
      <w:proofErr w:type="spellStart"/>
      <w:r>
        <w:rPr>
          <w:sz w:val="20"/>
          <w:szCs w:val="20"/>
        </w:rPr>
        <w:t>Habibollahi</w:t>
      </w:r>
      <w:proofErr w:type="spellEnd"/>
      <w:r>
        <w:rPr>
          <w:sz w:val="20"/>
          <w:szCs w:val="20"/>
        </w:rPr>
        <w:t xml:space="preserve">, F., Paul, A., Razi, A., and Kagan, B.J. (2024). Biological neurons compete with deep reinforcement learning in sample efficiency in a simulated </w:t>
      </w:r>
      <w:proofErr w:type="spellStart"/>
      <w:r>
        <w:rPr>
          <w:sz w:val="20"/>
          <w:szCs w:val="20"/>
        </w:rPr>
        <w:t>gameworld</w:t>
      </w:r>
      <w:proofErr w:type="spellEnd"/>
      <w:r>
        <w:rPr>
          <w:sz w:val="20"/>
          <w:szCs w:val="20"/>
        </w:rPr>
        <w:t>. arXiv:2405.16946.</w:t>
      </w:r>
    </w:p>
    <w:p w14:paraId="7F3D89A8" w14:textId="77777777" w:rsidR="00420BC4" w:rsidRDefault="00000000">
      <w:pPr>
        <w:spacing w:after="100"/>
        <w:ind w:left="360" w:hanging="360"/>
      </w:pPr>
      <w:r>
        <w:rPr>
          <w:sz w:val="20"/>
          <w:szCs w:val="20"/>
        </w:rPr>
        <w:t xml:space="preserve">Luccioni, A.S., Viguier, S., and </w:t>
      </w:r>
      <w:proofErr w:type="spellStart"/>
      <w:r>
        <w:rPr>
          <w:sz w:val="20"/>
          <w:szCs w:val="20"/>
        </w:rPr>
        <w:t>Ligozat</w:t>
      </w:r>
      <w:proofErr w:type="spellEnd"/>
      <w:r>
        <w:rPr>
          <w:sz w:val="20"/>
          <w:szCs w:val="20"/>
        </w:rPr>
        <w:t>, A.-L. (2023). Estimating the carbon footprint of BLOOM, a 176B parameter language model. J. Mach. Learn. Res. 24, 253:1–15.</w:t>
      </w:r>
    </w:p>
    <w:p w14:paraId="76D6F06C" w14:textId="77777777" w:rsidR="00420BC4" w:rsidRDefault="00000000">
      <w:pPr>
        <w:spacing w:after="100"/>
        <w:ind w:left="360" w:hanging="360"/>
      </w:pPr>
      <w:r>
        <w:rPr>
          <w:sz w:val="20"/>
          <w:szCs w:val="20"/>
        </w:rPr>
        <w:t>Magliaro, C., and Ahluwalia, A. (2023). To brain or not to brain organoids. Front. Sci. 1, 1148873.</w:t>
      </w:r>
    </w:p>
    <w:p w14:paraId="3270A9EF" w14:textId="77777777" w:rsidR="00420BC4" w:rsidRDefault="00000000">
      <w:pPr>
        <w:spacing w:after="100"/>
        <w:ind w:left="360" w:hanging="360"/>
      </w:pPr>
      <w:r>
        <w:rPr>
          <w:sz w:val="20"/>
          <w:szCs w:val="20"/>
        </w:rPr>
        <w:t>Patterson, D., Gonzalez, J., Le, Q., Liang, C., Munguia, L.-M., Rothchild, D., So, D., Texier, M., and Dean, J. (2021). Carbon emissions and large neural network training. arXiv:2104.10350.</w:t>
      </w:r>
    </w:p>
    <w:p w14:paraId="273405ED" w14:textId="77777777" w:rsidR="00420BC4" w:rsidRDefault="00000000">
      <w:pPr>
        <w:spacing w:after="100"/>
        <w:ind w:left="360" w:hanging="360"/>
      </w:pPr>
      <w:proofErr w:type="spellStart"/>
      <w:r>
        <w:rPr>
          <w:sz w:val="20"/>
          <w:szCs w:val="20"/>
        </w:rPr>
        <w:t>Pirson</w:t>
      </w:r>
      <w:proofErr w:type="spellEnd"/>
      <w:r>
        <w:rPr>
          <w:sz w:val="20"/>
          <w:szCs w:val="20"/>
        </w:rPr>
        <w:t xml:space="preserve">, T., </w:t>
      </w:r>
      <w:proofErr w:type="spellStart"/>
      <w:r>
        <w:rPr>
          <w:sz w:val="20"/>
          <w:szCs w:val="20"/>
        </w:rPr>
        <w:t>Delhaye</w:t>
      </w:r>
      <w:proofErr w:type="spellEnd"/>
      <w:r>
        <w:rPr>
          <w:sz w:val="20"/>
          <w:szCs w:val="20"/>
        </w:rPr>
        <w:t>, T., Jadot, T., Raskin, J.-P., Bol, D., and Nava Gomez, G.A. (2024). Process-based life cycle assessment of a vanadium dioxide spiking neuron. IEEE Design Autom. Conf., 1–6.</w:t>
      </w:r>
    </w:p>
    <w:p w14:paraId="11D40F3F" w14:textId="77777777" w:rsidR="00420BC4" w:rsidRDefault="00000000">
      <w:pPr>
        <w:spacing w:after="100"/>
        <w:ind w:left="360" w:hanging="360"/>
      </w:pPr>
      <w:r>
        <w:rPr>
          <w:sz w:val="20"/>
          <w:szCs w:val="20"/>
        </w:rPr>
        <w:t>Schwartz, R., Dodge, J., Smith, N.A., and Etzioni, O. (2020). Green AI. Commun. ACM 63(12), 54–63.</w:t>
      </w:r>
    </w:p>
    <w:p w14:paraId="0F599591" w14:textId="77777777" w:rsidR="00420BC4" w:rsidRDefault="00000000">
      <w:pPr>
        <w:spacing w:after="100"/>
        <w:ind w:left="360" w:hanging="360"/>
      </w:pPr>
      <w:r>
        <w:rPr>
          <w:sz w:val="20"/>
          <w:szCs w:val="20"/>
        </w:rPr>
        <w:t xml:space="preserve">Sinke, P., Swartz, E., Sanctorum, H., van der Giesen, C., and Odegard, I. (2023). Ex-ante life cycle assessment of </w:t>
      </w:r>
      <w:proofErr w:type="gramStart"/>
      <w:r>
        <w:rPr>
          <w:sz w:val="20"/>
          <w:szCs w:val="20"/>
        </w:rPr>
        <w:t>commercial-scale</w:t>
      </w:r>
      <w:proofErr w:type="gramEnd"/>
      <w:r>
        <w:rPr>
          <w:sz w:val="20"/>
          <w:szCs w:val="20"/>
        </w:rPr>
        <w:t xml:space="preserve"> cultivated meat production in 2030. Int. J. Life Cycle Assess. 28, 234–254.</w:t>
      </w:r>
    </w:p>
    <w:p w14:paraId="7ACB9F8F" w14:textId="77777777" w:rsidR="00420BC4" w:rsidRDefault="00000000">
      <w:pPr>
        <w:spacing w:after="100"/>
        <w:ind w:left="360" w:hanging="360"/>
      </w:pPr>
      <w:r>
        <w:rPr>
          <w:sz w:val="20"/>
          <w:szCs w:val="20"/>
        </w:rPr>
        <w:t xml:space="preserve">Smirnova, L., Caffo, B.S., Gracias, D.H., Huang, Q., Morales Pantoja, I.E., Tang, B., Zack, D.J., </w:t>
      </w:r>
      <w:proofErr w:type="spellStart"/>
      <w:r>
        <w:rPr>
          <w:sz w:val="20"/>
          <w:szCs w:val="20"/>
        </w:rPr>
        <w:t>Berlinicke</w:t>
      </w:r>
      <w:proofErr w:type="spellEnd"/>
      <w:r>
        <w:rPr>
          <w:sz w:val="20"/>
          <w:szCs w:val="20"/>
        </w:rPr>
        <w:t>, C.A., Boyd, J.L., Harris, T.D., et al. (2023). Organoid intelligence (OI): the new frontier in biocomputing and intelligence-in-a-dish. Front. Sci. 1, 1017235.</w:t>
      </w:r>
    </w:p>
    <w:p w14:paraId="70B52084" w14:textId="77777777" w:rsidR="00420BC4" w:rsidRDefault="00000000">
      <w:pPr>
        <w:spacing w:after="100"/>
        <w:ind w:left="360" w:hanging="360"/>
      </w:pPr>
      <w:r>
        <w:rPr>
          <w:sz w:val="20"/>
          <w:szCs w:val="20"/>
        </w:rPr>
        <w:t>Weidema, B.P., and Wesnæs, M.S. (1996). Data quality management for life cycle inventories — an example of using data quality indicators. J. Clean. Prod. 4, 167–174.</w:t>
      </w:r>
    </w:p>
    <w:sectPr w:rsidR="00420BC4" w:rsidSect="001D547B">
      <w:footerReference w:type="default" r:id="rId9"/>
      <w:pgSz w:w="12240" w:h="15840"/>
      <w:pgMar w:top="1440" w:right="1440" w:bottom="1440" w:left="1440" w:header="708" w:footer="708"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FD128" w14:textId="77777777" w:rsidR="00662A34" w:rsidRDefault="00662A34">
      <w:r>
        <w:separator/>
      </w:r>
    </w:p>
  </w:endnote>
  <w:endnote w:type="continuationSeparator" w:id="0">
    <w:p w14:paraId="43C0E28C" w14:textId="77777777" w:rsidR="00662A34" w:rsidRDefault="00662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B0BF1" w14:textId="77777777" w:rsidR="00420BC4" w:rsidRDefault="00000000">
    <w:pPr>
      <w:jc w:val="center"/>
    </w:pPr>
    <w:r>
      <w:rPr>
        <w:color w:val="666666"/>
        <w:sz w:val="18"/>
        <w:szCs w:val="18"/>
      </w:rPr>
      <w:fldChar w:fldCharType="begin"/>
    </w:r>
    <w:r>
      <w:rPr>
        <w:color w:val="666666"/>
        <w:sz w:val="18"/>
        <w:szCs w:val="18"/>
      </w:rPr>
      <w:instrText>PAGE</w:instrText>
    </w:r>
    <w:r>
      <w:rPr>
        <w:color w:val="666666"/>
        <w:sz w:val="18"/>
        <w:szCs w:val="18"/>
      </w:rPr>
      <w:fldChar w:fldCharType="separate"/>
    </w:r>
    <w:r w:rsidR="0049109C">
      <w:rPr>
        <w:noProof/>
        <w:color w:val="666666"/>
        <w:sz w:val="18"/>
        <w:szCs w:val="18"/>
      </w:rPr>
      <w:t>1</w:t>
    </w:r>
    <w:r>
      <w:rPr>
        <w:color w:val="666666"/>
        <w:sz w:val="18"/>
        <w:szCs w:val="18"/>
      </w:rPr>
      <w:fldChar w:fldCharType="end"/>
    </w:r>
    <w:r>
      <w:rPr>
        <w:color w:val="666666"/>
        <w:sz w:val="18"/>
        <w:szCs w:val="18"/>
      </w:rPr>
      <w:t xml:space="preserve"> / </w:t>
    </w:r>
    <w:r>
      <w:rPr>
        <w:color w:val="666666"/>
        <w:sz w:val="18"/>
        <w:szCs w:val="18"/>
      </w:rPr>
      <w:fldChar w:fldCharType="begin"/>
    </w:r>
    <w:r>
      <w:rPr>
        <w:color w:val="666666"/>
        <w:sz w:val="18"/>
        <w:szCs w:val="18"/>
      </w:rPr>
      <w:instrText>NUMPAGES</w:instrText>
    </w:r>
    <w:r>
      <w:rPr>
        <w:color w:val="666666"/>
        <w:sz w:val="18"/>
        <w:szCs w:val="18"/>
      </w:rPr>
      <w:fldChar w:fldCharType="separate"/>
    </w:r>
    <w:r w:rsidR="0049109C">
      <w:rPr>
        <w:noProof/>
        <w:color w:val="666666"/>
        <w:sz w:val="18"/>
        <w:szCs w:val="18"/>
      </w:rPr>
      <w:t>2</w:t>
    </w:r>
    <w:r>
      <w:rPr>
        <w:color w:val="66666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F7A5" w14:textId="77777777" w:rsidR="00662A34" w:rsidRDefault="00662A34">
      <w:r>
        <w:separator/>
      </w:r>
    </w:p>
  </w:footnote>
  <w:footnote w:type="continuationSeparator" w:id="0">
    <w:p w14:paraId="27BFEE9D" w14:textId="77777777" w:rsidR="00662A34" w:rsidRDefault="00662A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DA24F0"/>
    <w:multiLevelType w:val="hybridMultilevel"/>
    <w:tmpl w:val="8A66FE26"/>
    <w:lvl w:ilvl="0" w:tplc="86AAB1C6">
      <w:start w:val="1"/>
      <w:numFmt w:val="bullet"/>
      <w:lvlText w:val="●"/>
      <w:lvlJc w:val="left"/>
      <w:pPr>
        <w:ind w:left="720" w:hanging="360"/>
      </w:pPr>
    </w:lvl>
    <w:lvl w:ilvl="1" w:tplc="9422593E">
      <w:start w:val="1"/>
      <w:numFmt w:val="bullet"/>
      <w:lvlText w:val="○"/>
      <w:lvlJc w:val="left"/>
      <w:pPr>
        <w:ind w:left="1440" w:hanging="360"/>
      </w:pPr>
    </w:lvl>
    <w:lvl w:ilvl="2" w:tplc="25687C22">
      <w:start w:val="1"/>
      <w:numFmt w:val="bullet"/>
      <w:lvlText w:val="■"/>
      <w:lvlJc w:val="left"/>
      <w:pPr>
        <w:ind w:left="2160" w:hanging="360"/>
      </w:pPr>
    </w:lvl>
    <w:lvl w:ilvl="3" w:tplc="B69278D8">
      <w:start w:val="1"/>
      <w:numFmt w:val="bullet"/>
      <w:lvlText w:val="●"/>
      <w:lvlJc w:val="left"/>
      <w:pPr>
        <w:ind w:left="2880" w:hanging="360"/>
      </w:pPr>
    </w:lvl>
    <w:lvl w:ilvl="4" w:tplc="533CA8F6">
      <w:start w:val="1"/>
      <w:numFmt w:val="bullet"/>
      <w:lvlText w:val="○"/>
      <w:lvlJc w:val="left"/>
      <w:pPr>
        <w:ind w:left="3600" w:hanging="360"/>
      </w:pPr>
    </w:lvl>
    <w:lvl w:ilvl="5" w:tplc="7DBC057A">
      <w:start w:val="1"/>
      <w:numFmt w:val="bullet"/>
      <w:lvlText w:val="■"/>
      <w:lvlJc w:val="left"/>
      <w:pPr>
        <w:ind w:left="4320" w:hanging="360"/>
      </w:pPr>
    </w:lvl>
    <w:lvl w:ilvl="6" w:tplc="9190DD1E">
      <w:start w:val="1"/>
      <w:numFmt w:val="bullet"/>
      <w:lvlText w:val="●"/>
      <w:lvlJc w:val="left"/>
      <w:pPr>
        <w:ind w:left="5040" w:hanging="360"/>
      </w:pPr>
    </w:lvl>
    <w:lvl w:ilvl="7" w:tplc="44DAE9D0">
      <w:start w:val="1"/>
      <w:numFmt w:val="bullet"/>
      <w:lvlText w:val="●"/>
      <w:lvlJc w:val="left"/>
      <w:pPr>
        <w:ind w:left="5760" w:hanging="360"/>
      </w:pPr>
    </w:lvl>
    <w:lvl w:ilvl="8" w:tplc="99364286">
      <w:start w:val="1"/>
      <w:numFmt w:val="bullet"/>
      <w:lvlText w:val="●"/>
      <w:lvlJc w:val="left"/>
      <w:pPr>
        <w:ind w:left="6480" w:hanging="360"/>
      </w:pPr>
    </w:lvl>
  </w:abstractNum>
  <w:num w:numId="1" w16cid:durableId="10377041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BC4"/>
    <w:rsid w:val="00014F8A"/>
    <w:rsid w:val="000766C5"/>
    <w:rsid w:val="00076E10"/>
    <w:rsid w:val="000D4EB1"/>
    <w:rsid w:val="000E2B91"/>
    <w:rsid w:val="000E6E36"/>
    <w:rsid w:val="001161AB"/>
    <w:rsid w:val="00175DC5"/>
    <w:rsid w:val="001B4ED2"/>
    <w:rsid w:val="001C0D6A"/>
    <w:rsid w:val="001D547B"/>
    <w:rsid w:val="002164B7"/>
    <w:rsid w:val="0022550D"/>
    <w:rsid w:val="00252C44"/>
    <w:rsid w:val="00262881"/>
    <w:rsid w:val="00276588"/>
    <w:rsid w:val="002A4F88"/>
    <w:rsid w:val="002B484B"/>
    <w:rsid w:val="0032372A"/>
    <w:rsid w:val="00340963"/>
    <w:rsid w:val="00342991"/>
    <w:rsid w:val="00344AB4"/>
    <w:rsid w:val="003A4498"/>
    <w:rsid w:val="003A7F8F"/>
    <w:rsid w:val="00413514"/>
    <w:rsid w:val="00420BC4"/>
    <w:rsid w:val="00424FB6"/>
    <w:rsid w:val="004336B6"/>
    <w:rsid w:val="004513D7"/>
    <w:rsid w:val="004533FA"/>
    <w:rsid w:val="00454002"/>
    <w:rsid w:val="0049109C"/>
    <w:rsid w:val="004A0B67"/>
    <w:rsid w:val="004B5103"/>
    <w:rsid w:val="004D47F8"/>
    <w:rsid w:val="005318E0"/>
    <w:rsid w:val="00576D27"/>
    <w:rsid w:val="0058668A"/>
    <w:rsid w:val="005A3180"/>
    <w:rsid w:val="005E320B"/>
    <w:rsid w:val="005E6069"/>
    <w:rsid w:val="00601D11"/>
    <w:rsid w:val="006069C2"/>
    <w:rsid w:val="00630205"/>
    <w:rsid w:val="0064310C"/>
    <w:rsid w:val="00662A34"/>
    <w:rsid w:val="006675E8"/>
    <w:rsid w:val="006A7338"/>
    <w:rsid w:val="006B7623"/>
    <w:rsid w:val="006E256D"/>
    <w:rsid w:val="0076458B"/>
    <w:rsid w:val="00782F4B"/>
    <w:rsid w:val="007E06A3"/>
    <w:rsid w:val="00861A91"/>
    <w:rsid w:val="00894CC2"/>
    <w:rsid w:val="008C2832"/>
    <w:rsid w:val="008D0741"/>
    <w:rsid w:val="008E1A9A"/>
    <w:rsid w:val="008E4692"/>
    <w:rsid w:val="008F69AA"/>
    <w:rsid w:val="00906636"/>
    <w:rsid w:val="00933510"/>
    <w:rsid w:val="00982AF8"/>
    <w:rsid w:val="00984A65"/>
    <w:rsid w:val="009B188E"/>
    <w:rsid w:val="00A41ACA"/>
    <w:rsid w:val="00A44028"/>
    <w:rsid w:val="00A828AF"/>
    <w:rsid w:val="00AE7B37"/>
    <w:rsid w:val="00AF4D9E"/>
    <w:rsid w:val="00AF58B8"/>
    <w:rsid w:val="00BA6942"/>
    <w:rsid w:val="00BD25AC"/>
    <w:rsid w:val="00BE3DDC"/>
    <w:rsid w:val="00C22335"/>
    <w:rsid w:val="00C22FD0"/>
    <w:rsid w:val="00C33334"/>
    <w:rsid w:val="00C42EB5"/>
    <w:rsid w:val="00C67457"/>
    <w:rsid w:val="00CA7E2C"/>
    <w:rsid w:val="00D11FAC"/>
    <w:rsid w:val="00D21A17"/>
    <w:rsid w:val="00D2763D"/>
    <w:rsid w:val="00DA0CAE"/>
    <w:rsid w:val="00DC31F9"/>
    <w:rsid w:val="00DC5140"/>
    <w:rsid w:val="00DF2DB4"/>
    <w:rsid w:val="00E00A15"/>
    <w:rsid w:val="00E222E7"/>
    <w:rsid w:val="00E365B1"/>
    <w:rsid w:val="00E906BA"/>
    <w:rsid w:val="00E97A6E"/>
    <w:rsid w:val="00EA3BEA"/>
    <w:rsid w:val="00EA5877"/>
    <w:rsid w:val="00EB0815"/>
    <w:rsid w:val="00EC4876"/>
    <w:rsid w:val="00EE593E"/>
    <w:rsid w:val="00F22537"/>
    <w:rsid w:val="00F25D25"/>
    <w:rsid w:val="00F67C8B"/>
    <w:rsid w:val="00F85CF7"/>
    <w:rsid w:val="00FF78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B9E07"/>
  <w15:docId w15:val="{D4D1A6A0-A51D-44F3-B03A-153BB6B7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40"/>
      <w:outlineLvl w:val="0"/>
    </w:pPr>
    <w:rPr>
      <w:b/>
      <w:bCs/>
      <w:sz w:val="26"/>
      <w:szCs w:val="26"/>
    </w:rPr>
  </w:style>
  <w:style w:type="paragraph" w:styleId="Heading2">
    <w:name w:val="heading 2"/>
    <w:uiPriority w:val="9"/>
    <w:unhideWhenUsed/>
    <w:qFormat/>
    <w:pPr>
      <w:spacing w:before="200" w:after="100"/>
      <w:outlineLvl w:val="1"/>
    </w:pPr>
    <w:rPr>
      <w:b/>
      <w:bCs/>
      <w:color w:val="1F3A5F"/>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LineNumber">
    <w:name w:val="line number"/>
    <w:basedOn w:val="DefaultParagraphFont"/>
    <w:uiPriority w:val="99"/>
    <w:semiHidden/>
    <w:unhideWhenUsed/>
    <w:rsid w:val="001D547B"/>
  </w:style>
  <w:style w:type="paragraph" w:styleId="Header">
    <w:name w:val="header"/>
    <w:basedOn w:val="Normal"/>
    <w:link w:val="HeaderChar"/>
    <w:uiPriority w:val="99"/>
    <w:unhideWhenUsed/>
    <w:rsid w:val="00861A91"/>
    <w:pPr>
      <w:tabs>
        <w:tab w:val="center" w:pos="4513"/>
        <w:tab w:val="right" w:pos="9026"/>
      </w:tabs>
    </w:pPr>
  </w:style>
  <w:style w:type="character" w:customStyle="1" w:styleId="HeaderChar">
    <w:name w:val="Header Char"/>
    <w:basedOn w:val="DefaultParagraphFont"/>
    <w:link w:val="Header"/>
    <w:uiPriority w:val="99"/>
    <w:rsid w:val="00861A91"/>
  </w:style>
  <w:style w:type="paragraph" w:styleId="Footer">
    <w:name w:val="footer"/>
    <w:basedOn w:val="Normal"/>
    <w:link w:val="FooterChar"/>
    <w:uiPriority w:val="99"/>
    <w:unhideWhenUsed/>
    <w:rsid w:val="00861A91"/>
    <w:pPr>
      <w:tabs>
        <w:tab w:val="center" w:pos="4513"/>
        <w:tab w:val="right" w:pos="9026"/>
      </w:tabs>
    </w:pPr>
  </w:style>
  <w:style w:type="character" w:customStyle="1" w:styleId="FooterChar">
    <w:name w:val="Footer Char"/>
    <w:basedOn w:val="DefaultParagraphFont"/>
    <w:link w:val="Footer"/>
    <w:uiPriority w:val="99"/>
    <w:rsid w:val="00861A91"/>
  </w:style>
  <w:style w:type="character" w:styleId="CommentReference">
    <w:name w:val="annotation reference"/>
    <w:basedOn w:val="DefaultParagraphFont"/>
    <w:uiPriority w:val="99"/>
    <w:semiHidden/>
    <w:unhideWhenUsed/>
    <w:rsid w:val="002A4F88"/>
    <w:rPr>
      <w:sz w:val="16"/>
      <w:szCs w:val="16"/>
    </w:rPr>
  </w:style>
  <w:style w:type="paragraph" w:styleId="CommentText">
    <w:name w:val="annotation text"/>
    <w:basedOn w:val="Normal"/>
    <w:link w:val="CommentTextChar"/>
    <w:uiPriority w:val="99"/>
    <w:unhideWhenUsed/>
    <w:rsid w:val="002A4F88"/>
    <w:rPr>
      <w:sz w:val="20"/>
      <w:szCs w:val="20"/>
    </w:rPr>
  </w:style>
  <w:style w:type="character" w:customStyle="1" w:styleId="CommentTextChar">
    <w:name w:val="Comment Text Char"/>
    <w:basedOn w:val="DefaultParagraphFont"/>
    <w:link w:val="CommentText"/>
    <w:uiPriority w:val="99"/>
    <w:rsid w:val="002A4F88"/>
    <w:rPr>
      <w:sz w:val="20"/>
      <w:szCs w:val="20"/>
    </w:rPr>
  </w:style>
  <w:style w:type="paragraph" w:styleId="CommentSubject">
    <w:name w:val="annotation subject"/>
    <w:basedOn w:val="CommentText"/>
    <w:next w:val="CommentText"/>
    <w:link w:val="CommentSubjectChar"/>
    <w:uiPriority w:val="99"/>
    <w:semiHidden/>
    <w:unhideWhenUsed/>
    <w:rsid w:val="002A4F88"/>
    <w:rPr>
      <w:b/>
      <w:bCs/>
    </w:rPr>
  </w:style>
  <w:style w:type="character" w:customStyle="1" w:styleId="CommentSubjectChar">
    <w:name w:val="Comment Subject Char"/>
    <w:basedOn w:val="CommentTextChar"/>
    <w:link w:val="CommentSubject"/>
    <w:uiPriority w:val="99"/>
    <w:semiHidden/>
    <w:rsid w:val="002A4F88"/>
    <w:rPr>
      <w:b/>
      <w:bCs/>
      <w:sz w:val="20"/>
      <w:szCs w:val="20"/>
    </w:rPr>
  </w:style>
  <w:style w:type="paragraph" w:styleId="Revision">
    <w:name w:val="Revision"/>
    <w:hidden/>
    <w:uiPriority w:val="99"/>
    <w:semiHidden/>
    <w:rsid w:val="00A82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30553">
      <w:bodyDiv w:val="1"/>
      <w:marLeft w:val="0"/>
      <w:marRight w:val="0"/>
      <w:marTop w:val="0"/>
      <w:marBottom w:val="0"/>
      <w:divBdr>
        <w:top w:val="none" w:sz="0" w:space="0" w:color="auto"/>
        <w:left w:val="none" w:sz="0" w:space="0" w:color="auto"/>
        <w:bottom w:val="none" w:sz="0" w:space="0" w:color="auto"/>
        <w:right w:val="none" w:sz="0" w:space="0" w:color="auto"/>
      </w:divBdr>
    </w:div>
    <w:div w:id="980812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7A091F-5CD2-7F49-B2B6-F99241437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14</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LCA of biohybrid neural computing — Perspective (preprint)</vt:lpstr>
    </vt:vector>
  </TitlesOfParts>
  <Company/>
  <LinksUpToDate>false</LinksUpToDate>
  <CharactersWithSpaces>30284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LCA of biohybrid neural computing — Perspective (preprint)</dc:title>
  <dc:creator>Anzà, Anzà, Magliaro</dc:creator>
  <cp:lastModifiedBy>Anzà, Simone</cp:lastModifiedBy>
  <cp:revision>7</cp:revision>
  <cp:lastPrinted>2026-04-28T14:15:00Z</cp:lastPrinted>
  <dcterms:created xsi:type="dcterms:W3CDTF">2026-04-28T13:59:00Z</dcterms:created>
  <dcterms:modified xsi:type="dcterms:W3CDTF">2026-05-07T16:00:00Z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410cf9e3-433f-4348-abfd-4f6c5d1668d9</vt:lpwstr>
  </property>
</Properties>
</file>