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3768" w:rsidRPr="0055537A" w:rsidRDefault="009D35F6" w:rsidP="002D6933">
      <w:pPr>
        <w:jc w:val="center"/>
        <w:rPr>
          <w:rFonts w:ascii="Times New Roman" w:hAnsi="Times New Roman" w:cs="Times New Roman"/>
          <w:b/>
          <w:sz w:val="28"/>
          <w:szCs w:val="28"/>
        </w:rPr>
      </w:pPr>
      <w:r w:rsidRPr="009D35F6">
        <w:rPr>
          <w:rFonts w:ascii="Times New Roman" w:hAnsi="Times New Roman" w:cs="Times New Roman"/>
          <w:b/>
          <w:sz w:val="28"/>
          <w:szCs w:val="28"/>
        </w:rPr>
        <w:t>Safety Assurance of AI-Enabled Power Cyber-Physical Systems: A Power-System-Centric Critical Review</w:t>
      </w:r>
    </w:p>
    <w:p w:rsidR="00F7716F" w:rsidRPr="00FE1FBD" w:rsidRDefault="007D1E95" w:rsidP="00212627">
      <w:pPr>
        <w:spacing w:before="120" w:after="120" w:line="240" w:lineRule="auto"/>
        <w:jc w:val="center"/>
        <w:rPr>
          <w:rFonts w:ascii="Times New Roman" w:hAnsi="Times New Roman" w:cs="Times New Roman"/>
        </w:rPr>
      </w:pPr>
      <w:bookmarkStart w:id="0" w:name="OLE_LINK2"/>
      <w:bookmarkStart w:id="1" w:name="OLE_LINK3"/>
      <w:r>
        <w:rPr>
          <w:rFonts w:ascii="Times New Roman" w:hAnsi="Times New Roman" w:cs="Times New Roman"/>
        </w:rPr>
        <w:t>Y</w:t>
      </w:r>
      <w:r w:rsidR="006253FD" w:rsidRPr="006253FD">
        <w:rPr>
          <w:rFonts w:ascii="Times New Roman" w:hAnsi="Times New Roman" w:cs="Times New Roman"/>
        </w:rPr>
        <w:t xml:space="preserve">ang </w:t>
      </w:r>
      <w:r>
        <w:rPr>
          <w:rFonts w:ascii="Times New Roman" w:hAnsi="Times New Roman" w:cs="Times New Roman"/>
        </w:rPr>
        <w:t>Xie</w:t>
      </w:r>
      <w:r w:rsidR="008C3488" w:rsidRPr="00FE1FBD">
        <w:rPr>
          <w:rFonts w:ascii="Times New Roman" w:hAnsi="Times New Roman" w:cs="Times New Roman"/>
        </w:rPr>
        <w:cr/>
      </w:r>
      <w:bookmarkEnd w:id="0"/>
      <w:bookmarkEnd w:id="1"/>
      <w:r w:rsidR="006253FD" w:rsidRPr="006253FD">
        <w:rPr>
          <w:rFonts w:ascii="Times New Roman" w:hAnsi="Times New Roman" w:cs="Times New Roman"/>
        </w:rPr>
        <w:t xml:space="preserve">School of Electrical </w:t>
      </w:r>
      <w:r w:rsidR="00DE3C9D">
        <w:rPr>
          <w:rFonts w:ascii="Times New Roman" w:hAnsi="Times New Roman" w:cs="Times New Roman"/>
        </w:rPr>
        <w:t xml:space="preserve">and Control </w:t>
      </w:r>
      <w:r w:rsidR="006253FD" w:rsidRPr="006253FD">
        <w:rPr>
          <w:rFonts w:ascii="Times New Roman" w:hAnsi="Times New Roman" w:cs="Times New Roman"/>
        </w:rPr>
        <w:t xml:space="preserve">Engineering, </w:t>
      </w:r>
      <w:r w:rsidR="00DE3C9D" w:rsidRPr="00DE3C9D">
        <w:rPr>
          <w:rFonts w:ascii="Times New Roman" w:hAnsi="Times New Roman" w:cs="Times New Roman"/>
        </w:rPr>
        <w:t>Heilongjiang University of Science and Technology</w:t>
      </w:r>
      <w:r w:rsidR="006253FD" w:rsidRPr="006253FD">
        <w:rPr>
          <w:rFonts w:ascii="Times New Roman" w:hAnsi="Times New Roman" w:cs="Times New Roman"/>
        </w:rPr>
        <w:t xml:space="preserve">, </w:t>
      </w:r>
      <w:r w:rsidR="00DE3C9D">
        <w:rPr>
          <w:rFonts w:ascii="Times New Roman" w:hAnsi="Times New Roman" w:cs="Times New Roman"/>
        </w:rPr>
        <w:t>Harbin</w:t>
      </w:r>
      <w:r w:rsidR="006253FD" w:rsidRPr="006253FD">
        <w:rPr>
          <w:rFonts w:ascii="Times New Roman" w:hAnsi="Times New Roman" w:cs="Times New Roman"/>
        </w:rPr>
        <w:t>, China</w:t>
      </w:r>
    </w:p>
    <w:p w:rsidR="00F03768" w:rsidRPr="00FE1FBD" w:rsidRDefault="00F03768" w:rsidP="00FE1FBD">
      <w:pPr>
        <w:tabs>
          <w:tab w:val="left" w:pos="2694"/>
        </w:tabs>
        <w:spacing w:before="120" w:after="120" w:line="240" w:lineRule="auto"/>
        <w:outlineLvl w:val="1"/>
        <w:rPr>
          <w:rFonts w:ascii="Times New Roman" w:eastAsia="Times New Roman" w:hAnsi="Times New Roman" w:cs="Times New Roman"/>
        </w:rPr>
      </w:pPr>
      <w:bookmarkStart w:id="2" w:name="OLE_LINK1"/>
      <w:r w:rsidRPr="00FE1FBD">
        <w:rPr>
          <w:rFonts w:ascii="Times New Roman" w:eastAsia="Times New Roman" w:hAnsi="Times New Roman" w:cs="Times New Roman"/>
          <w:b/>
          <w:bCs/>
        </w:rPr>
        <w:t>Abstract</w:t>
      </w:r>
      <w:r w:rsidR="009B6224" w:rsidRPr="00FE1FBD">
        <w:rPr>
          <w:rFonts w:ascii="Times New Roman" w:eastAsia="SimSun" w:hAnsi="Times New Roman" w:cs="Times New Roman"/>
          <w:b/>
          <w:bCs/>
        </w:rPr>
        <w:t xml:space="preserve">: </w:t>
      </w:r>
      <w:r w:rsidR="001C27B7" w:rsidRPr="001C27B7">
        <w:rPr>
          <w:rFonts w:ascii="Times New Roman" w:eastAsia="Times New Roman" w:hAnsi="Times New Roman" w:cs="Times New Roman"/>
        </w:rPr>
        <w:t>Artificial intelligence (AI) is increasingly used in power-system forecasting, stability assessment, control, protection support, and cyber-attack detection. When these models are embedded in power cyber-physical systems (Power CPS), however, prediction errors, distribution shifts, adversarial measurements, communication delays, and insufficient operator oversight may propagate into physical consequences such as reserve shortage, voltage or frequency violations, delayed protection response, or degraded restoration. This paper reviews safety assurance for AI-enabled Power CPS from a power-system operational perspective. Instead of treating AI safety as a generic property of machine-learning models, the review focuses on how AI decisions interact with SCADA/PMU measurements, automatic generation control, inverter-dominated operation, protection and emergency control, digital-twin validation, federated learning, and human supervision. The literature is organized around four questions: how unsafe AI behavior arises in grid operation; which mechanisms can improve robustness, uncertainty awareness, verification, and runtime monitoring; how model-level errors should be translated into power-system consequences; and what evidence is needed before AI-enabled functions can be deployed in safety-critical control-room environments. The review shows that current studies still rely heavily on offline accuracy, limited simulation scenarios, and loosely defined trustworthiness concepts, while practical deployment requires scenario-based stress testing, closed-loop validation, fallback logic, and auditable human-in-the-loop procedures. Open challenges are identified in power-system-specific benchmarks, scalable verification, runtime assurance for distributed control, and certification-oriente</w:t>
      </w:r>
      <w:r w:rsidR="001C27B7">
        <w:rPr>
          <w:rFonts w:ascii="Times New Roman" w:eastAsia="Times New Roman" w:hAnsi="Times New Roman" w:cs="Times New Roman"/>
        </w:rPr>
        <w:t>d deployment</w:t>
      </w:r>
      <w:r w:rsidR="00CA218E" w:rsidRPr="00CA218E">
        <w:rPr>
          <w:rFonts w:ascii="Times New Roman" w:eastAsia="Times New Roman" w:hAnsi="Times New Roman" w:cs="Times New Roman"/>
        </w:rPr>
        <w:t>.</w:t>
      </w:r>
    </w:p>
    <w:bookmarkEnd w:id="2"/>
    <w:p w:rsidR="00F03768" w:rsidRPr="00FE1FBD" w:rsidRDefault="00F03768" w:rsidP="00FE1FBD">
      <w:pPr>
        <w:spacing w:before="120" w:after="120" w:line="240" w:lineRule="auto"/>
        <w:outlineLvl w:val="1"/>
        <w:rPr>
          <w:rFonts w:ascii="Times New Roman" w:eastAsia="Times New Roman" w:hAnsi="Times New Roman" w:cs="Times New Roman"/>
        </w:rPr>
      </w:pPr>
      <w:r w:rsidRPr="00FE1FBD">
        <w:rPr>
          <w:rFonts w:ascii="Times New Roman" w:eastAsia="Times New Roman" w:hAnsi="Times New Roman" w:cs="Times New Roman"/>
          <w:b/>
          <w:bCs/>
        </w:rPr>
        <w:t>Keywords</w:t>
      </w:r>
      <w:r w:rsidR="009B6224" w:rsidRPr="00FE1FBD">
        <w:rPr>
          <w:rFonts w:ascii="Times New Roman" w:eastAsia="SimSun" w:hAnsi="Times New Roman" w:cs="Times New Roman"/>
          <w:b/>
          <w:bCs/>
        </w:rPr>
        <w:t xml:space="preserve">: </w:t>
      </w:r>
      <w:r w:rsidR="001C27B7" w:rsidRPr="001C27B7">
        <w:rPr>
          <w:rFonts w:ascii="Times New Roman" w:eastAsia="Times New Roman" w:hAnsi="Times New Roman" w:cs="Times New Roman"/>
        </w:rPr>
        <w:t>AI-enabled power systems, power cyber-physical systems, operational safety, runtime monitoring, false data injection, federated learning</w:t>
      </w:r>
      <w:r w:rsidRPr="00FE1FBD">
        <w:rPr>
          <w:rFonts w:ascii="Times New Roman" w:eastAsia="Times New Roman" w:hAnsi="Times New Roman" w:cs="Times New Roman"/>
        </w:rPr>
        <w:t>.</w:t>
      </w:r>
    </w:p>
    <w:p w:rsidR="00F03768" w:rsidRPr="00FE1FBD" w:rsidRDefault="00F03768" w:rsidP="00FE1FBD">
      <w:pPr>
        <w:spacing w:before="120" w:after="120" w:line="240" w:lineRule="auto"/>
        <w:outlineLvl w:val="0"/>
        <w:rPr>
          <w:rFonts w:ascii="Times New Roman" w:eastAsia="Times New Roman" w:hAnsi="Times New Roman" w:cs="Times New Roman"/>
          <w:b/>
          <w:bCs/>
          <w:kern w:val="36"/>
        </w:rPr>
      </w:pPr>
      <w:r w:rsidRPr="00FE1FBD">
        <w:rPr>
          <w:rFonts w:ascii="Times New Roman" w:eastAsia="Times New Roman" w:hAnsi="Times New Roman" w:cs="Times New Roman"/>
          <w:b/>
          <w:bCs/>
          <w:kern w:val="36"/>
        </w:rPr>
        <w:t>1. Introduction</w:t>
      </w:r>
    </w:p>
    <w:p w:rsidR="00F03768" w:rsidRPr="00FE1FBD" w:rsidRDefault="00F03768"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Artificial Intelligence (AI) has rapidly become a cornerstone technology of modern </w:t>
      </w:r>
      <w:r w:rsidRPr="004B5105">
        <w:rPr>
          <w:rFonts w:ascii="Times New Roman" w:eastAsia="Times New Roman" w:hAnsi="Times New Roman" w:cs="Times New Roman"/>
          <w:bCs/>
        </w:rPr>
        <w:t>power cyber-physical systems (Power CPS)</w:t>
      </w:r>
      <w:r w:rsidRPr="00FE1FBD">
        <w:rPr>
          <w:rFonts w:ascii="Times New Roman" w:eastAsia="Times New Roman" w:hAnsi="Times New Roman" w:cs="Times New Roman"/>
        </w:rPr>
        <w:t>—complex infrastructures that integrate physical power networks with communication, control, and computational intelligence layers</w:t>
      </w:r>
      <w:r w:rsidR="001115D6" w:rsidRPr="00FE1FBD">
        <w:rPr>
          <w:rFonts w:ascii="Times New Roman" w:eastAsia="Times New Roman" w:hAnsi="Times New Roman" w:cs="Times New Roman"/>
        </w:rPr>
        <w:t xml:space="preserve"> [1-3]</w:t>
      </w:r>
      <w:r w:rsidR="00D73D06" w:rsidRPr="00FE1FBD">
        <w:rPr>
          <w:rFonts w:ascii="Times New Roman" w:eastAsia="Times New Roman" w:hAnsi="Times New Roman" w:cs="Times New Roman"/>
        </w:rPr>
        <w:t>, as shown in Fig. 1</w:t>
      </w:r>
      <w:r w:rsidRPr="00FE1FBD">
        <w:rPr>
          <w:rFonts w:ascii="Times New Roman" w:eastAsia="Times New Roman" w:hAnsi="Times New Roman" w:cs="Times New Roman"/>
        </w:rPr>
        <w:t>. In recent years, deep learning, reinforcement learning, and federated learning have been increasingly deployed in critical grid operations such as dynamic stability prediction, voltage and frequency regulation, renewable forecasting, demand response scheduling, and cyber intrusion detection</w:t>
      </w:r>
      <w:r w:rsidR="001115D6" w:rsidRPr="00FE1FBD">
        <w:rPr>
          <w:rFonts w:ascii="Times New Roman" w:eastAsia="Times New Roman" w:hAnsi="Times New Roman" w:cs="Times New Roman"/>
        </w:rPr>
        <w:t xml:space="preserve"> [4-6]</w:t>
      </w:r>
      <w:r w:rsidRPr="00FE1FBD">
        <w:rPr>
          <w:rFonts w:ascii="Times New Roman" w:eastAsia="Times New Roman" w:hAnsi="Times New Roman" w:cs="Times New Roman"/>
        </w:rPr>
        <w:t xml:space="preserve">. These intelligent systems promise unprecedented efficiency, adaptability, and automation. Yet, their pervasive integration also raises a fundamental and urgent question: </w:t>
      </w:r>
      <w:r w:rsidRPr="00FE1FBD">
        <w:rPr>
          <w:rFonts w:ascii="Times New Roman" w:eastAsia="Times New Roman" w:hAnsi="Times New Roman" w:cs="Times New Roman"/>
          <w:bCs/>
        </w:rPr>
        <w:t>How can AI be made safe within mission-critical power infrastructures?</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 xml:space="preserve">1.1 </w:t>
      </w:r>
      <w:r w:rsidR="003B6D67" w:rsidRPr="003B6D67">
        <w:rPr>
          <w:rFonts w:ascii="Times New Roman" w:eastAsia="Times New Roman" w:hAnsi="Times New Roman" w:cs="Times New Roman"/>
          <w:b/>
          <w:bCs/>
        </w:rPr>
        <w:t>From Cybersecurity and Control Safety to AI Safety Assurance</w:t>
      </w:r>
    </w:p>
    <w:p w:rsidR="00D73D06" w:rsidRPr="00FE1FBD" w:rsidRDefault="003B6D67" w:rsidP="00FE1FBD">
      <w:pPr>
        <w:spacing w:before="120" w:after="120" w:line="240" w:lineRule="auto"/>
        <w:rPr>
          <w:rFonts w:ascii="Times New Roman" w:eastAsia="Times New Roman" w:hAnsi="Times New Roman" w:cs="Times New Roman"/>
        </w:rPr>
      </w:pPr>
      <w:r w:rsidRPr="003B6D67">
        <w:rPr>
          <w:rFonts w:ascii="Times New Roman" w:eastAsia="Times New Roman" w:hAnsi="Times New Roman" w:cs="Times New Roman"/>
        </w:rPr>
        <w:t>Conventional power-system safety has been built on protection coordination, operating constraints, redundancy, contingency analysis, and deterministic control rules</w:t>
      </w:r>
      <w:r w:rsidR="00F0600C" w:rsidRPr="00FE1FBD">
        <w:rPr>
          <w:rFonts w:ascii="Times New Roman" w:eastAsia="Times New Roman" w:hAnsi="Times New Roman" w:cs="Times New Roman"/>
        </w:rPr>
        <w:t xml:space="preserve"> [7-10]</w:t>
      </w:r>
      <w:r w:rsidR="00F03768" w:rsidRPr="00FE1FBD">
        <w:rPr>
          <w:rFonts w:ascii="Times New Roman" w:eastAsia="Times New Roman" w:hAnsi="Times New Roman" w:cs="Times New Roman"/>
        </w:rPr>
        <w:t>. With the advent of digitalization and AI, however, system intelligence has shifted from rule-based control to data-driven autonomy. This paradigm shift introduces new classes of risks that transcend conventional cybersecurity or control safety frameworks</w:t>
      </w:r>
      <w:r w:rsidR="00F0600C" w:rsidRPr="00FE1FBD">
        <w:rPr>
          <w:rFonts w:ascii="Times New Roman" w:eastAsia="Times New Roman" w:hAnsi="Times New Roman" w:cs="Times New Roman"/>
        </w:rPr>
        <w:t xml:space="preserve"> [11]</w:t>
      </w:r>
      <w:r w:rsidR="00F03768" w:rsidRPr="00FE1FBD">
        <w:rPr>
          <w:rFonts w:ascii="Times New Roman" w:eastAsia="Times New Roman" w:hAnsi="Times New Roman" w:cs="Times New Roman"/>
        </w:rPr>
        <w:t>.</w:t>
      </w:r>
    </w:p>
    <w:p w:rsidR="00D73D06" w:rsidRPr="00FE1FBD" w:rsidRDefault="003D51CE" w:rsidP="00FE1FBD">
      <w:pPr>
        <w:spacing w:before="120" w:after="120" w:line="240" w:lineRule="auto"/>
        <w:jc w:val="center"/>
        <w:rPr>
          <w:rFonts w:ascii="Times New Roman" w:hAnsi="Times New Roman" w:cs="Times New Roman"/>
        </w:rPr>
      </w:pPr>
      <w:r w:rsidRPr="00FE1FBD">
        <w:object w:dxaOrig="19590" w:dyaOrig="101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1pt;height:251.15pt" o:ole="">
            <v:imagedata r:id="rId7" o:title=""/>
          </v:shape>
          <o:OLEObject Type="Embed" ProgID="Visio.Drawing.15" ShapeID="_x0000_i1025" DrawAspect="Content" ObjectID="_1841152637" r:id="rId8"/>
        </w:object>
      </w:r>
    </w:p>
    <w:p w:rsidR="00D73D06" w:rsidRPr="00FE1FBD" w:rsidRDefault="00D73D06" w:rsidP="00FE1FBD">
      <w:pPr>
        <w:spacing w:before="120" w:after="120" w:line="240" w:lineRule="auto"/>
        <w:jc w:val="center"/>
        <w:outlineLvl w:val="2"/>
        <w:rPr>
          <w:rFonts w:ascii="Times New Roman" w:eastAsia="Times New Roman" w:hAnsi="Times New Roman" w:cs="Times New Roman"/>
        </w:rPr>
      </w:pPr>
      <w:r w:rsidRPr="00FE1FBD">
        <w:rPr>
          <w:rFonts w:ascii="Times New Roman" w:hAnsi="Times New Roman" w:cs="Times New Roman"/>
        </w:rPr>
        <w:t xml:space="preserve">Fig. 1 Architecture of </w:t>
      </w:r>
      <w:r w:rsidR="00394B2E" w:rsidRPr="00FE1FBD">
        <w:rPr>
          <w:rFonts w:ascii="Times New Roman" w:hAnsi="Times New Roman" w:cs="Times New Roman"/>
        </w:rPr>
        <w:t>p</w:t>
      </w:r>
      <w:r w:rsidRPr="00FE1FBD">
        <w:rPr>
          <w:rFonts w:ascii="Times New Roman" w:hAnsi="Times New Roman" w:cs="Times New Roman"/>
        </w:rPr>
        <w:t>ower cyber-physical systems</w:t>
      </w:r>
    </w:p>
    <w:p w:rsidR="00F03768" w:rsidRPr="00FE1FBD" w:rsidRDefault="00F03768"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AI models are inherently </w:t>
      </w:r>
      <w:r w:rsidRPr="00FE1FBD">
        <w:rPr>
          <w:rFonts w:ascii="Times New Roman" w:eastAsia="Times New Roman" w:hAnsi="Times New Roman" w:cs="Times New Roman"/>
          <w:i/>
          <w:iCs/>
        </w:rPr>
        <w:t>nonlinear, stochastic, and adaptive</w:t>
      </w:r>
      <w:r w:rsidRPr="00FE1FBD">
        <w:rPr>
          <w:rFonts w:ascii="Times New Roman" w:eastAsia="Times New Roman" w:hAnsi="Times New Roman" w:cs="Times New Roman"/>
        </w:rPr>
        <w:t>. Their decision boundaries are learned from data distributions rather than encoded by physical laws</w:t>
      </w:r>
      <w:r w:rsidR="00F0600C" w:rsidRPr="00FE1FBD">
        <w:rPr>
          <w:rFonts w:ascii="Times New Roman" w:eastAsia="Times New Roman" w:hAnsi="Times New Roman" w:cs="Times New Roman"/>
        </w:rPr>
        <w:t xml:space="preserve"> [12-13]</w:t>
      </w:r>
      <w:r w:rsidRPr="00FE1FBD">
        <w:rPr>
          <w:rFonts w:ascii="Times New Roman" w:eastAsia="Times New Roman" w:hAnsi="Times New Roman" w:cs="Times New Roman"/>
        </w:rPr>
        <w:t>. Consequently, they may behave unpredictably when confronted with unseen conditions, adversarial perturbations, or data drift—conditions that are ubiquitous in real-world power systems characterized by fluctuating renewable generation, variable loads, and complex communication dependencies</w:t>
      </w:r>
      <w:r w:rsidR="00F0600C" w:rsidRPr="00FE1FBD">
        <w:rPr>
          <w:rFonts w:ascii="Times New Roman" w:eastAsia="Times New Roman" w:hAnsi="Times New Roman" w:cs="Times New Roman"/>
        </w:rPr>
        <w:t xml:space="preserve"> [14]</w:t>
      </w:r>
      <w:r w:rsidRPr="00FE1FBD">
        <w:rPr>
          <w:rFonts w:ascii="Times New Roman" w:eastAsia="Times New Roman" w:hAnsi="Times New Roman" w:cs="Times New Roman"/>
        </w:rPr>
        <w:t>.</w:t>
      </w:r>
    </w:p>
    <w:p w:rsidR="00F03768" w:rsidRPr="00FE1FBD" w:rsidRDefault="00F03768"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bCs/>
        </w:rPr>
        <w:t>Traditional safety</w:t>
      </w:r>
      <w:r w:rsidRPr="00FE1FBD">
        <w:rPr>
          <w:rFonts w:ascii="Times New Roman" w:eastAsia="Times New Roman" w:hAnsi="Times New Roman" w:cs="Times New Roman"/>
        </w:rPr>
        <w:t xml:space="preserve"> in power systems typically refers to </w:t>
      </w:r>
      <w:r w:rsidRPr="00FE1FBD">
        <w:rPr>
          <w:rFonts w:ascii="Times New Roman" w:eastAsia="Times New Roman" w:hAnsi="Times New Roman" w:cs="Times New Roman"/>
          <w:i/>
          <w:iCs/>
        </w:rPr>
        <w:t>cyber safety</w:t>
      </w:r>
      <w:r w:rsidRPr="00FE1FBD">
        <w:rPr>
          <w:rFonts w:ascii="Times New Roman" w:eastAsia="Times New Roman" w:hAnsi="Times New Roman" w:cs="Times New Roman"/>
        </w:rPr>
        <w:t xml:space="preserve"> (protection against unauthorized access and malicious manipulation) and </w:t>
      </w:r>
      <w:r w:rsidRPr="00FE1FBD">
        <w:rPr>
          <w:rFonts w:ascii="Times New Roman" w:eastAsia="Times New Roman" w:hAnsi="Times New Roman" w:cs="Times New Roman"/>
          <w:i/>
          <w:iCs/>
        </w:rPr>
        <w:t>control safety</w:t>
      </w:r>
      <w:r w:rsidRPr="00FE1FBD">
        <w:rPr>
          <w:rFonts w:ascii="Times New Roman" w:eastAsia="Times New Roman" w:hAnsi="Times New Roman" w:cs="Times New Roman"/>
        </w:rPr>
        <w:t xml:space="preserve"> (guaranteeing stable physical operation under defined contingencies)</w:t>
      </w:r>
      <w:r w:rsidR="00F0600C" w:rsidRPr="00FE1FBD">
        <w:rPr>
          <w:rFonts w:ascii="Times New Roman" w:eastAsia="Times New Roman" w:hAnsi="Times New Roman" w:cs="Times New Roman"/>
        </w:rPr>
        <w:t xml:space="preserve"> [15-17]</w:t>
      </w:r>
      <w:r w:rsidRPr="00FE1FBD">
        <w:rPr>
          <w:rFonts w:ascii="Times New Roman" w:eastAsia="Times New Roman" w:hAnsi="Times New Roman" w:cs="Times New Roman"/>
        </w:rPr>
        <w:t>.</w:t>
      </w:r>
      <w:r w:rsidR="00F0600C" w:rsidRPr="00FE1FBD">
        <w:rPr>
          <w:rFonts w:ascii="Times New Roman" w:eastAsia="Times New Roman" w:hAnsi="Times New Roman" w:cs="Times New Roman"/>
        </w:rPr>
        <w:t xml:space="preserve"> </w:t>
      </w:r>
      <w:r w:rsidRPr="00FE1FBD">
        <w:rPr>
          <w:rFonts w:ascii="Times New Roman" w:eastAsia="Times New Roman" w:hAnsi="Times New Roman" w:cs="Times New Roman"/>
        </w:rPr>
        <w:t xml:space="preserve">In contrast, </w:t>
      </w:r>
      <w:r w:rsidRPr="00FE1FBD">
        <w:rPr>
          <w:rFonts w:ascii="Times New Roman" w:eastAsia="Times New Roman" w:hAnsi="Times New Roman" w:cs="Times New Roman"/>
          <w:bCs/>
        </w:rPr>
        <w:t>Safe AI</w:t>
      </w:r>
      <w:r w:rsidRPr="00FE1FBD">
        <w:rPr>
          <w:rFonts w:ascii="Times New Roman" w:eastAsia="Times New Roman" w:hAnsi="Times New Roman" w:cs="Times New Roman"/>
        </w:rPr>
        <w:t xml:space="preserve"> encompasses a broader, more dynamic assurance objective: ensuring that AI-driven components perform intended functions </w:t>
      </w:r>
      <w:r w:rsidRPr="00FE1FBD">
        <w:rPr>
          <w:rFonts w:ascii="Times New Roman" w:eastAsia="Times New Roman" w:hAnsi="Times New Roman" w:cs="Times New Roman"/>
          <w:bCs/>
        </w:rPr>
        <w:t>reliably, predictably, and ethically</w:t>
      </w:r>
      <w:r w:rsidRPr="00FE1FBD">
        <w:rPr>
          <w:rFonts w:ascii="Times New Roman" w:eastAsia="Times New Roman" w:hAnsi="Times New Roman" w:cs="Times New Roman"/>
        </w:rPr>
        <w:t xml:space="preserve"> under uncertainty, adversarial influence, or self-adaptation.</w:t>
      </w:r>
      <w:r w:rsidR="00F0600C" w:rsidRPr="00FE1FBD">
        <w:rPr>
          <w:rFonts w:ascii="Times New Roman" w:eastAsia="Times New Roman" w:hAnsi="Times New Roman" w:cs="Times New Roman"/>
        </w:rPr>
        <w:t xml:space="preserve"> </w:t>
      </w:r>
      <w:r w:rsidRPr="00FE1FBD">
        <w:rPr>
          <w:rFonts w:ascii="Times New Roman" w:eastAsia="Times New Roman" w:hAnsi="Times New Roman" w:cs="Times New Roman"/>
        </w:rPr>
        <w:t xml:space="preserve">While cybersecurity measures safeguard data and infrastructure, and control safety guarantees mechanical and electrical stability, </w:t>
      </w:r>
      <w:r w:rsidRPr="00FE1FBD">
        <w:rPr>
          <w:rFonts w:ascii="Times New Roman" w:eastAsia="Times New Roman" w:hAnsi="Times New Roman" w:cs="Times New Roman"/>
          <w:bCs/>
        </w:rPr>
        <w:t>Safe AI focuses on the integrity and dependability of decision-making itself</w:t>
      </w:r>
      <w:r w:rsidRPr="00FE1FBD">
        <w:rPr>
          <w:rFonts w:ascii="Times New Roman" w:eastAsia="Times New Roman" w:hAnsi="Times New Roman" w:cs="Times New Roman"/>
        </w:rPr>
        <w:t>—spanning data acquisition, learning, inference, and feedback control</w:t>
      </w:r>
      <w:r w:rsidR="00F0600C" w:rsidRPr="00FE1FBD">
        <w:rPr>
          <w:rFonts w:ascii="Times New Roman" w:eastAsia="Times New Roman" w:hAnsi="Times New Roman" w:cs="Times New Roman"/>
        </w:rPr>
        <w:t xml:space="preserve"> [18]</w:t>
      </w:r>
      <w:r w:rsidRPr="00FE1FBD">
        <w:rPr>
          <w:rFonts w:ascii="Times New Roman" w:eastAsia="Times New Roman" w:hAnsi="Times New Roman" w:cs="Times New Roman"/>
        </w:rPr>
        <w:t>.</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1.2 Why Power CPS Demands Safe AI</w:t>
      </w:r>
    </w:p>
    <w:p w:rsidR="00F03768" w:rsidRPr="00FE1FBD" w:rsidRDefault="00F03768"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Power CPS represents one of the most safety-critical domains in human society. A single malfunction in an AI-assisted dispatch model could lead to unstable voltage recovery, widespread power outages, or compromised defense mechanisms against cyber attacks</w:t>
      </w:r>
      <w:r w:rsidR="00F0600C" w:rsidRPr="00FE1FBD">
        <w:rPr>
          <w:rFonts w:ascii="Times New Roman" w:eastAsia="Times New Roman" w:hAnsi="Times New Roman" w:cs="Times New Roman"/>
        </w:rPr>
        <w:t xml:space="preserve"> [19-21]</w:t>
      </w:r>
      <w:r w:rsidRPr="00FE1FBD">
        <w:rPr>
          <w:rFonts w:ascii="Times New Roman" w:eastAsia="Times New Roman" w:hAnsi="Times New Roman" w:cs="Times New Roman"/>
        </w:rPr>
        <w:t>. As grid control loops become more automated and interconnected, any failure in an AI model’s logic may cascade rapidly through both cyber and physical domains, amplifying risks at system scale</w:t>
      </w:r>
      <w:r w:rsidR="005E6600" w:rsidRPr="00FE1FBD">
        <w:rPr>
          <w:rFonts w:ascii="Times New Roman" w:eastAsia="Times New Roman" w:hAnsi="Times New Roman" w:cs="Times New Roman"/>
        </w:rPr>
        <w:t>, as shown in Fig. 2</w:t>
      </w:r>
      <w:r w:rsidR="003C712C" w:rsidRPr="00FE1FBD">
        <w:rPr>
          <w:rFonts w:ascii="Times New Roman" w:eastAsia="Times New Roman" w:hAnsi="Times New Roman" w:cs="Times New Roman"/>
        </w:rPr>
        <w:t xml:space="preserve"> [22]</w:t>
      </w:r>
      <w:r w:rsidRPr="00FE1FBD">
        <w:rPr>
          <w:rFonts w:ascii="Times New Roman" w:eastAsia="Times New Roman" w:hAnsi="Times New Roman" w:cs="Times New Roman"/>
        </w:rPr>
        <w:t>.</w:t>
      </w:r>
    </w:p>
    <w:p w:rsidR="005E6600" w:rsidRPr="00FE1FBD" w:rsidRDefault="009E57F0" w:rsidP="00FE1FBD">
      <w:pPr>
        <w:spacing w:before="120" w:after="120" w:line="240" w:lineRule="auto"/>
        <w:jc w:val="center"/>
        <w:rPr>
          <w:rFonts w:ascii="Times New Roman" w:eastAsia="Times New Roman" w:hAnsi="Times New Roman" w:cs="Times New Roman"/>
        </w:rPr>
      </w:pPr>
      <w:r w:rsidRPr="00FE1FBD">
        <w:object w:dxaOrig="12225" w:dyaOrig="7410">
          <v:shape id="_x0000_i1026" type="#_x0000_t75" style="width:346pt;height:205.75pt" o:ole="">
            <v:imagedata r:id="rId9" o:title=""/>
          </v:shape>
          <o:OLEObject Type="Embed" ProgID="Visio.Drawing.15" ShapeID="_x0000_i1026" DrawAspect="Content" ObjectID="_1841152638" r:id="rId10"/>
        </w:object>
      </w:r>
    </w:p>
    <w:p w:rsidR="005E6600" w:rsidRPr="00FE1FBD" w:rsidRDefault="005E6600" w:rsidP="00FE1FBD">
      <w:pPr>
        <w:spacing w:before="120" w:after="120" w:line="240" w:lineRule="auto"/>
        <w:jc w:val="center"/>
        <w:rPr>
          <w:rFonts w:ascii="Times New Roman" w:eastAsia="Times New Roman" w:hAnsi="Times New Roman" w:cs="Times New Roman"/>
        </w:rPr>
      </w:pPr>
      <w:r w:rsidRPr="00FE1FBD">
        <w:rPr>
          <w:rFonts w:ascii="Times New Roman" w:eastAsia="Times New Roman" w:hAnsi="Times New Roman" w:cs="Times New Roman"/>
        </w:rPr>
        <w:t>Fig. 2 Major Cyber Attacks on Power Grids</w:t>
      </w:r>
    </w:p>
    <w:p w:rsidR="00F03768" w:rsidRPr="00FE1FBD" w:rsidRDefault="00F03768"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Emerging trends further elevate the urgency of safety considerations:</w:t>
      </w:r>
    </w:p>
    <w:p w:rsidR="00F03768" w:rsidRPr="00FE1FBD" w:rsidRDefault="00F03768" w:rsidP="00FE1FBD">
      <w:pPr>
        <w:numPr>
          <w:ilvl w:val="0"/>
          <w:numId w:val="1"/>
        </w:num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b/>
          <w:bCs/>
        </w:rPr>
        <w:t>Autonomous Control and Decision Loops:</w:t>
      </w:r>
      <w:r w:rsidRPr="00FE1FBD">
        <w:rPr>
          <w:rFonts w:ascii="Times New Roman" w:eastAsia="Times New Roman" w:hAnsi="Times New Roman" w:cs="Times New Roman"/>
        </w:rPr>
        <w:t xml:space="preserve"> Reinforcement-learning agents now regulate frequency and voltage in real time, yet their safety boundaries during exploration or online adaptation remain unclear</w:t>
      </w:r>
      <w:r w:rsidR="00F0600C" w:rsidRPr="00FE1FBD">
        <w:rPr>
          <w:rFonts w:ascii="Times New Roman" w:eastAsia="Times New Roman" w:hAnsi="Times New Roman" w:cs="Times New Roman"/>
        </w:rPr>
        <w:t xml:space="preserve"> [</w:t>
      </w:r>
      <w:r w:rsidR="00087C99" w:rsidRPr="00FE1FBD">
        <w:rPr>
          <w:rFonts w:ascii="Times New Roman" w:eastAsia="Times New Roman" w:hAnsi="Times New Roman" w:cs="Times New Roman"/>
        </w:rPr>
        <w:t>23</w:t>
      </w:r>
      <w:r w:rsidR="00F0600C" w:rsidRPr="00FE1FBD">
        <w:rPr>
          <w:rFonts w:ascii="Times New Roman" w:eastAsia="Times New Roman" w:hAnsi="Times New Roman" w:cs="Times New Roman"/>
        </w:rPr>
        <w:t>]</w:t>
      </w:r>
      <w:r w:rsidRPr="00FE1FBD">
        <w:rPr>
          <w:rFonts w:ascii="Times New Roman" w:eastAsia="Times New Roman" w:hAnsi="Times New Roman" w:cs="Times New Roman"/>
        </w:rPr>
        <w:t>.</w:t>
      </w:r>
    </w:p>
    <w:p w:rsidR="00F03768" w:rsidRPr="00FE1FBD" w:rsidRDefault="00F03768" w:rsidP="00FE1FBD">
      <w:pPr>
        <w:numPr>
          <w:ilvl w:val="0"/>
          <w:numId w:val="1"/>
        </w:num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b/>
          <w:bCs/>
        </w:rPr>
        <w:t>AI-enabled Security Systems:</w:t>
      </w:r>
      <w:r w:rsidRPr="00FE1FBD">
        <w:rPr>
          <w:rFonts w:ascii="Times New Roman" w:eastAsia="Times New Roman" w:hAnsi="Times New Roman" w:cs="Times New Roman"/>
        </w:rPr>
        <w:t xml:space="preserve"> Intrusion detection models are vulnerable to adversarial examples, where small data perturbations lead to misclassification and undetected attacks.</w:t>
      </w:r>
    </w:p>
    <w:p w:rsidR="00F03768" w:rsidRPr="00FE1FBD" w:rsidRDefault="00F03768" w:rsidP="00FE1FBD">
      <w:pPr>
        <w:numPr>
          <w:ilvl w:val="0"/>
          <w:numId w:val="1"/>
        </w:num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b/>
          <w:bCs/>
        </w:rPr>
        <w:t>Data-driven Forecasting and Optimization:</w:t>
      </w:r>
      <w:r w:rsidRPr="00FE1FBD">
        <w:rPr>
          <w:rFonts w:ascii="Times New Roman" w:eastAsia="Times New Roman" w:hAnsi="Times New Roman" w:cs="Times New Roman"/>
        </w:rPr>
        <w:t xml:space="preserve"> Black-box models for renewable prediction or optimal power flow lack explainability, making their failure modes difficult to audit or prevent</w:t>
      </w:r>
      <w:r w:rsidR="00F0600C" w:rsidRPr="00FE1FBD">
        <w:rPr>
          <w:rFonts w:ascii="Times New Roman" w:eastAsia="Times New Roman" w:hAnsi="Times New Roman" w:cs="Times New Roman"/>
        </w:rPr>
        <w:t xml:space="preserve"> [24]</w:t>
      </w:r>
      <w:r w:rsidRPr="00FE1FBD">
        <w:rPr>
          <w:rFonts w:ascii="Times New Roman" w:eastAsia="Times New Roman" w:hAnsi="Times New Roman" w:cs="Times New Roman"/>
        </w:rPr>
        <w:t>.</w:t>
      </w:r>
    </w:p>
    <w:p w:rsidR="00F03768" w:rsidRPr="00FE1FBD" w:rsidRDefault="00F03768" w:rsidP="00FE1FBD">
      <w:pPr>
        <w:numPr>
          <w:ilvl w:val="0"/>
          <w:numId w:val="1"/>
        </w:num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b/>
          <w:bCs/>
        </w:rPr>
        <w:t>Cross-domain Coupling:</w:t>
      </w:r>
      <w:r w:rsidRPr="00FE1FBD">
        <w:rPr>
          <w:rFonts w:ascii="Times New Roman" w:eastAsia="Times New Roman" w:hAnsi="Times New Roman" w:cs="Times New Roman"/>
        </w:rPr>
        <w:t xml:space="preserve"> Digital twins, federated learning, and multi-agent coordination intensify dependencies between distributed entities, amplifying systemic fragility if one component behaves unsafely</w:t>
      </w:r>
      <w:r w:rsidR="00F0600C" w:rsidRPr="00FE1FBD">
        <w:rPr>
          <w:rFonts w:ascii="Times New Roman" w:eastAsia="Times New Roman" w:hAnsi="Times New Roman" w:cs="Times New Roman"/>
        </w:rPr>
        <w:t xml:space="preserve"> [25]</w:t>
      </w:r>
      <w:r w:rsidRPr="00FE1FBD">
        <w:rPr>
          <w:rFonts w:ascii="Times New Roman" w:eastAsia="Times New Roman" w:hAnsi="Times New Roman" w:cs="Times New Roman"/>
        </w:rPr>
        <w:t>.</w:t>
      </w:r>
    </w:p>
    <w:p w:rsidR="00F03768" w:rsidRPr="00FE1FBD" w:rsidRDefault="00F03768"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Without explicit safety assurance mechanisms, these AI-infused control and monitoring architectures may expose the grid to “unknown unknowns”—unanticipated situations where traditional fail-safe design cannot intervene.</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1.3 The Evolving Concept of Safe AI</w:t>
      </w:r>
    </w:p>
    <w:p w:rsidR="00F03768" w:rsidRPr="00FE1FBD" w:rsidRDefault="00F03768"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The term </w:t>
      </w:r>
      <w:r w:rsidRPr="00FE1FBD">
        <w:rPr>
          <w:rFonts w:ascii="Times New Roman" w:eastAsia="Times New Roman" w:hAnsi="Times New Roman" w:cs="Times New Roman"/>
          <w:bCs/>
        </w:rPr>
        <w:t>Safe AI</w:t>
      </w:r>
      <w:r w:rsidRPr="00FE1FBD">
        <w:rPr>
          <w:rFonts w:ascii="Times New Roman" w:eastAsia="Times New Roman" w:hAnsi="Times New Roman" w:cs="Times New Roman"/>
        </w:rPr>
        <w:t xml:space="preserve"> has gained prominence across multiple disciplines—autonomous driving, robotics, and healthcare—yet its adaptation to Power CPS remains nascent</w:t>
      </w:r>
      <w:r w:rsidR="005C30A6" w:rsidRPr="00FE1FBD">
        <w:rPr>
          <w:rFonts w:ascii="Times New Roman" w:eastAsia="Times New Roman" w:hAnsi="Times New Roman" w:cs="Times New Roman"/>
        </w:rPr>
        <w:t xml:space="preserve"> [26]</w:t>
      </w:r>
      <w:r w:rsidRPr="00FE1FBD">
        <w:rPr>
          <w:rFonts w:ascii="Times New Roman" w:eastAsia="Times New Roman" w:hAnsi="Times New Roman" w:cs="Times New Roman"/>
        </w:rPr>
        <w:t xml:space="preserve">. In general, Safe AI refers to the set of design principles, methods, and governance frameworks that </w:t>
      </w:r>
      <w:r w:rsidRPr="00FE1FBD">
        <w:rPr>
          <w:rFonts w:ascii="Times New Roman" w:eastAsia="Times New Roman" w:hAnsi="Times New Roman" w:cs="Times New Roman"/>
          <w:bCs/>
        </w:rPr>
        <w:t>ensure AI systems do not cause unacceptable harm</w:t>
      </w:r>
      <w:r w:rsidRPr="00FE1FBD">
        <w:rPr>
          <w:rFonts w:ascii="Times New Roman" w:eastAsia="Times New Roman" w:hAnsi="Times New Roman" w:cs="Times New Roman"/>
        </w:rPr>
        <w:t xml:space="preserve"> to humans, assets, or environments</w:t>
      </w:r>
      <w:r w:rsidR="005C30A6" w:rsidRPr="00FE1FBD">
        <w:rPr>
          <w:rFonts w:ascii="Times New Roman" w:eastAsia="Times New Roman" w:hAnsi="Times New Roman" w:cs="Times New Roman"/>
        </w:rPr>
        <w:t xml:space="preserve"> [</w:t>
      </w:r>
      <w:r w:rsidR="005900AA" w:rsidRPr="00FE1FBD">
        <w:rPr>
          <w:rFonts w:ascii="Times New Roman" w:eastAsia="Times New Roman" w:hAnsi="Times New Roman" w:cs="Times New Roman"/>
        </w:rPr>
        <w:t>27</w:t>
      </w:r>
      <w:r w:rsidR="005C30A6" w:rsidRPr="00FE1FBD">
        <w:rPr>
          <w:rFonts w:ascii="Times New Roman" w:eastAsia="Times New Roman" w:hAnsi="Times New Roman" w:cs="Times New Roman"/>
        </w:rPr>
        <w:t>]</w:t>
      </w:r>
      <w:r w:rsidRPr="00FE1FBD">
        <w:rPr>
          <w:rFonts w:ascii="Times New Roman" w:eastAsia="Times New Roman" w:hAnsi="Times New Roman" w:cs="Times New Roman"/>
        </w:rPr>
        <w:t>.</w:t>
      </w:r>
      <w:r w:rsidRPr="00FE1FBD">
        <w:rPr>
          <w:rFonts w:ascii="Times New Roman" w:eastAsia="Times New Roman" w:hAnsi="Times New Roman" w:cs="Times New Roman"/>
        </w:rPr>
        <w:br/>
        <w:t>For Power CPS, Safe AI entails the alignment of AI behavior with engineering safety constraints and societal values. It integrates four layers of assurance</w:t>
      </w:r>
      <w:r w:rsidR="005900AA" w:rsidRPr="00FE1FBD">
        <w:rPr>
          <w:rFonts w:ascii="Times New Roman" w:eastAsia="Times New Roman" w:hAnsi="Times New Roman" w:cs="Times New Roman"/>
        </w:rPr>
        <w:t xml:space="preserve"> [28]</w:t>
      </w:r>
      <w:r w:rsidRPr="00FE1FBD">
        <w:rPr>
          <w:rFonts w:ascii="Times New Roman" w:eastAsia="Times New Roman" w:hAnsi="Times New Roman" w:cs="Times New Roman"/>
        </w:rPr>
        <w:t>:</w:t>
      </w:r>
    </w:p>
    <w:p w:rsidR="00F03768" w:rsidRPr="00FE1FBD" w:rsidRDefault="00F03768" w:rsidP="00FE1FBD">
      <w:pPr>
        <w:numPr>
          <w:ilvl w:val="0"/>
          <w:numId w:val="14"/>
        </w:numPr>
        <w:spacing w:before="120" w:after="120" w:line="240" w:lineRule="auto"/>
        <w:ind w:left="714" w:hanging="357"/>
        <w:rPr>
          <w:rFonts w:ascii="Times New Roman" w:eastAsia="Times New Roman" w:hAnsi="Times New Roman" w:cs="Times New Roman"/>
        </w:rPr>
      </w:pPr>
      <w:r w:rsidRPr="00FE1FBD">
        <w:rPr>
          <w:rFonts w:ascii="Times New Roman" w:eastAsia="Times New Roman" w:hAnsi="Times New Roman" w:cs="Times New Roman"/>
          <w:b/>
          <w:bCs/>
        </w:rPr>
        <w:t>Algorithmic Safety:</w:t>
      </w:r>
      <w:r w:rsidRPr="00FE1FBD">
        <w:rPr>
          <w:rFonts w:ascii="Times New Roman" w:eastAsia="Times New Roman" w:hAnsi="Times New Roman" w:cs="Times New Roman"/>
        </w:rPr>
        <w:t xml:space="preserve"> robustness, uncertainty awareness, and out-of-distribution detection at the model level;</w:t>
      </w:r>
    </w:p>
    <w:p w:rsidR="00F03768" w:rsidRPr="00FE1FBD" w:rsidRDefault="00F03768" w:rsidP="00FE1FBD">
      <w:pPr>
        <w:numPr>
          <w:ilvl w:val="0"/>
          <w:numId w:val="14"/>
        </w:num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b/>
          <w:bCs/>
        </w:rPr>
        <w:t>Functional Safety:</w:t>
      </w:r>
      <w:r w:rsidRPr="00FE1FBD">
        <w:rPr>
          <w:rFonts w:ascii="Times New Roman" w:eastAsia="Times New Roman" w:hAnsi="Times New Roman" w:cs="Times New Roman"/>
        </w:rPr>
        <w:t xml:space="preserve"> adherence to operational constraints during control and dispatch;</w:t>
      </w:r>
    </w:p>
    <w:p w:rsidR="00F03768" w:rsidRPr="00FE1FBD" w:rsidRDefault="00F03768" w:rsidP="00FE1FBD">
      <w:pPr>
        <w:numPr>
          <w:ilvl w:val="0"/>
          <w:numId w:val="14"/>
        </w:num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b/>
          <w:bCs/>
        </w:rPr>
        <w:t>Cyber Safety:</w:t>
      </w:r>
      <w:r w:rsidRPr="00FE1FBD">
        <w:rPr>
          <w:rFonts w:ascii="Times New Roman" w:eastAsia="Times New Roman" w:hAnsi="Times New Roman" w:cs="Times New Roman"/>
        </w:rPr>
        <w:t xml:space="preserve"> defense against data poisoning, adversarial manipulation, or communication compromise;</w:t>
      </w:r>
    </w:p>
    <w:p w:rsidR="00F03768" w:rsidRPr="00FE1FBD" w:rsidRDefault="00F03768" w:rsidP="00FE1FBD">
      <w:pPr>
        <w:numPr>
          <w:ilvl w:val="0"/>
          <w:numId w:val="14"/>
        </w:num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b/>
          <w:bCs/>
        </w:rPr>
        <w:lastRenderedPageBreak/>
        <w:t>Human–AI Trust Safety:</w:t>
      </w:r>
      <w:r w:rsidRPr="00FE1FBD">
        <w:rPr>
          <w:rFonts w:ascii="Times New Roman" w:eastAsia="Times New Roman" w:hAnsi="Times New Roman" w:cs="Times New Roman"/>
        </w:rPr>
        <w:t xml:space="preserve"> maintaining situational awareness and oversight through interpretable and auditable AI decisions.</w:t>
      </w:r>
    </w:p>
    <w:p w:rsidR="00F03768" w:rsidRPr="00FE1FBD" w:rsidRDefault="00F03768"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Thus, Safe AI is not a single technology but an </w:t>
      </w:r>
      <w:r w:rsidRPr="004B5105">
        <w:rPr>
          <w:rFonts w:ascii="Times New Roman" w:eastAsia="Times New Roman" w:hAnsi="Times New Roman" w:cs="Times New Roman"/>
          <w:bCs/>
        </w:rPr>
        <w:t>ecosystem of mechanisms</w:t>
      </w:r>
      <w:r w:rsidRPr="00FE1FBD">
        <w:rPr>
          <w:rFonts w:ascii="Times New Roman" w:eastAsia="Times New Roman" w:hAnsi="Times New Roman" w:cs="Times New Roman"/>
        </w:rPr>
        <w:t xml:space="preserve"> encompassing algorithms, system architectures, and governance processes that together maintain acceptable risk levels throughout the AI lifecycle—from data collection and training to deployment, adaptation, and decommissioning</w:t>
      </w:r>
      <w:r w:rsidR="00F763E1" w:rsidRPr="00FE1FBD">
        <w:rPr>
          <w:rFonts w:ascii="Times New Roman" w:eastAsia="Times New Roman" w:hAnsi="Times New Roman" w:cs="Times New Roman"/>
        </w:rPr>
        <w:t xml:space="preserve"> [</w:t>
      </w:r>
      <w:r w:rsidR="00551B3E" w:rsidRPr="00FE1FBD">
        <w:rPr>
          <w:rFonts w:ascii="Times New Roman" w:eastAsia="Times New Roman" w:hAnsi="Times New Roman" w:cs="Times New Roman"/>
        </w:rPr>
        <w:t>29</w:t>
      </w:r>
      <w:r w:rsidR="00FA349C">
        <w:rPr>
          <w:rFonts w:ascii="Times New Roman" w:eastAsia="Times New Roman" w:hAnsi="Times New Roman" w:cs="Times New Roman"/>
        </w:rPr>
        <w:t>-31</w:t>
      </w:r>
      <w:r w:rsidR="00F763E1" w:rsidRPr="00FE1FBD">
        <w:rPr>
          <w:rFonts w:ascii="Times New Roman" w:eastAsia="Times New Roman" w:hAnsi="Times New Roman" w:cs="Times New Roman"/>
        </w:rPr>
        <w:t>]</w:t>
      </w:r>
      <w:r w:rsidRPr="00FE1FBD">
        <w:rPr>
          <w:rFonts w:ascii="Times New Roman" w:eastAsia="Times New Roman" w:hAnsi="Times New Roman" w:cs="Times New Roman"/>
        </w:rPr>
        <w:t>.</w:t>
      </w:r>
    </w:p>
    <w:p w:rsidR="00F03768" w:rsidRPr="00FE1FBD" w:rsidRDefault="004C5608" w:rsidP="00FE1FBD">
      <w:pPr>
        <w:spacing w:before="120" w:after="120" w:line="240" w:lineRule="auto"/>
        <w:outlineLvl w:val="2"/>
        <w:rPr>
          <w:rFonts w:ascii="Times New Roman" w:eastAsia="Times New Roman" w:hAnsi="Times New Roman" w:cs="Times New Roman"/>
          <w:b/>
          <w:bCs/>
        </w:rPr>
      </w:pPr>
      <w:r>
        <w:rPr>
          <w:rFonts w:ascii="Times New Roman" w:eastAsia="Times New Roman" w:hAnsi="Times New Roman" w:cs="Times New Roman"/>
          <w:b/>
          <w:bCs/>
        </w:rPr>
        <w:t xml:space="preserve">1.4 Gaps </w:t>
      </w:r>
      <w:r w:rsidR="00F03768" w:rsidRPr="00FE1FBD">
        <w:rPr>
          <w:rFonts w:ascii="Times New Roman" w:eastAsia="Times New Roman" w:hAnsi="Times New Roman" w:cs="Times New Roman"/>
          <w:b/>
          <w:bCs/>
        </w:rPr>
        <w:t xml:space="preserve">in </w:t>
      </w:r>
      <w:r w:rsidRPr="004C5608">
        <w:rPr>
          <w:rFonts w:ascii="Times New Roman" w:eastAsia="Times New Roman" w:hAnsi="Times New Roman" w:cs="Times New Roman"/>
          <w:b/>
          <w:bCs/>
        </w:rPr>
        <w:t xml:space="preserve">Existing </w:t>
      </w:r>
      <w:r w:rsidR="00F03768" w:rsidRPr="00FE1FBD">
        <w:rPr>
          <w:rFonts w:ascii="Times New Roman" w:eastAsia="Times New Roman" w:hAnsi="Times New Roman" w:cs="Times New Roman"/>
          <w:b/>
          <w:bCs/>
        </w:rPr>
        <w:t>Research</w:t>
      </w:r>
    </w:p>
    <w:p w:rsidR="00FA349C" w:rsidRDefault="00FA349C" w:rsidP="00FE1FBD">
      <w:pPr>
        <w:spacing w:before="120" w:after="120" w:line="240" w:lineRule="auto"/>
        <w:rPr>
          <w:rFonts w:ascii="Times New Roman" w:eastAsia="Times New Roman" w:hAnsi="Times New Roman" w:cs="Times New Roman"/>
        </w:rPr>
      </w:pPr>
      <w:r w:rsidRPr="00FA349C">
        <w:rPr>
          <w:rFonts w:ascii="Times New Roman" w:eastAsia="Times New Roman" w:hAnsi="Times New Roman" w:cs="Times New Roman"/>
        </w:rPr>
        <w:t>Existing reviews have summarized AI applications in power systems, smart-grid cybersecurity, digital twins, federated learning, and trustworthy AI</w:t>
      </w:r>
      <w:r>
        <w:rPr>
          <w:rFonts w:ascii="Times New Roman" w:eastAsia="Times New Roman" w:hAnsi="Times New Roman" w:cs="Times New Roman"/>
        </w:rPr>
        <w:t xml:space="preserve"> [32-33]</w:t>
      </w:r>
      <w:r w:rsidRPr="00FA349C">
        <w:rPr>
          <w:rFonts w:ascii="Times New Roman" w:eastAsia="Times New Roman" w:hAnsi="Times New Roman" w:cs="Times New Roman"/>
        </w:rPr>
        <w:t>. However, several gaps remain. First, many studies still evaluate AI mainly by accuracy, F1-score, cost reduction, or tracking performance, without mapping model errors to voltage, frequency, reserve, protection, or restoration consequences</w:t>
      </w:r>
      <w:r>
        <w:rPr>
          <w:rFonts w:ascii="Times New Roman" w:eastAsia="Times New Roman" w:hAnsi="Times New Roman" w:cs="Times New Roman"/>
        </w:rPr>
        <w:t xml:space="preserve"> [34-36]</w:t>
      </w:r>
      <w:r w:rsidRPr="00FA349C">
        <w:rPr>
          <w:rFonts w:ascii="Times New Roman" w:eastAsia="Times New Roman" w:hAnsi="Times New Roman" w:cs="Times New Roman"/>
        </w:rPr>
        <w:t>. Second, safety validation is often performed in limited offline datasets or idealized simulations, with insufficient treatment of topology changes, communication delay, sensor failure, cyber manipulation, and rare contingencies</w:t>
      </w:r>
      <w:r>
        <w:rPr>
          <w:rFonts w:ascii="Times New Roman" w:eastAsia="Times New Roman" w:hAnsi="Times New Roman" w:cs="Times New Roman"/>
        </w:rPr>
        <w:t xml:space="preserve"> [37]</w:t>
      </w:r>
      <w:r w:rsidRPr="00FA349C">
        <w:rPr>
          <w:rFonts w:ascii="Times New Roman" w:eastAsia="Times New Roman" w:hAnsi="Times New Roman" w:cs="Times New Roman"/>
        </w:rPr>
        <w:t>. Third, formal verification, runtime assurance, and fallback mechanisms remain fragmented and are seldom connected to established power-system security assessment or control-room procedures</w:t>
      </w:r>
      <w:r>
        <w:rPr>
          <w:rFonts w:ascii="Times New Roman" w:eastAsia="Times New Roman" w:hAnsi="Times New Roman" w:cs="Times New Roman"/>
        </w:rPr>
        <w:t xml:space="preserve"> [38-40]</w:t>
      </w:r>
      <w:r w:rsidRPr="00FA349C">
        <w:rPr>
          <w:rFonts w:ascii="Times New Roman" w:eastAsia="Times New Roman" w:hAnsi="Times New Roman" w:cs="Times New Roman"/>
        </w:rPr>
        <w:t>. Finally, human oversight and accountability are frequently discussed at a high level but rarely translated into concrete requirements for operator intervention, alarm handling, rollback, and post-event audit</w:t>
      </w:r>
      <w:r>
        <w:rPr>
          <w:rFonts w:ascii="Times New Roman" w:eastAsia="Times New Roman" w:hAnsi="Times New Roman" w:cs="Times New Roman"/>
        </w:rPr>
        <w:t xml:space="preserve"> [41]</w:t>
      </w:r>
      <w:r w:rsidRPr="00FA349C">
        <w:rPr>
          <w:rFonts w:ascii="Times New Roman" w:eastAsia="Times New Roman" w:hAnsi="Times New Roman" w:cs="Times New Roman"/>
        </w:rPr>
        <w:t>.</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 xml:space="preserve">1.5 Objectives and Contributions </w:t>
      </w:r>
    </w:p>
    <w:p w:rsidR="0048610C" w:rsidRPr="0048610C" w:rsidRDefault="00BE09C3" w:rsidP="0048610C">
      <w:pPr>
        <w:spacing w:before="120" w:after="120" w:line="240" w:lineRule="auto"/>
        <w:rPr>
          <w:rFonts w:ascii="Times New Roman" w:eastAsia="Times New Roman" w:hAnsi="Times New Roman" w:cs="Times New Roman"/>
        </w:rPr>
      </w:pPr>
      <w:r w:rsidRPr="00BE09C3">
        <w:rPr>
          <w:rFonts w:ascii="Times New Roman" w:eastAsia="Times New Roman" w:hAnsi="Times New Roman" w:cs="Times New Roman"/>
        </w:rPr>
        <w:t>This review aims to clarify how AI safety assurance should be interpreted and evaluated in Power CPS. Its main contributions are fourfold. First, it frames AI safety as a power-system operational problem rather than a generic machine-learning property. Second, it organizes the literature around data/model reliability, physical-control compliance, runtime monitoring and fallback, distributed/federated assurance, and human supervision. Third, it proposes a deployment-oriented evaluation perspective that links model errors with power-system consequences, including constraint violations, delayed response, fallback performance, and recovery behavior. Fourth, it identifies open challenges in benchmark construction, scalable validation, runtime assurance for distributed control, and certification-oriented deployment.</w:t>
      </w:r>
    </w:p>
    <w:p w:rsidR="009E57F0" w:rsidRPr="00FE1FBD" w:rsidRDefault="009E57F0" w:rsidP="00FE1FBD">
      <w:pPr>
        <w:spacing w:before="120" w:after="120" w:line="240" w:lineRule="auto"/>
        <w:rPr>
          <w:rFonts w:ascii="Times New Roman" w:eastAsia="Times New Roman" w:hAnsi="Times New Roman" w:cs="Times New Roman"/>
          <w:b/>
          <w:bCs/>
        </w:rPr>
      </w:pPr>
      <w:r w:rsidRPr="00FE1FBD">
        <w:rPr>
          <w:rFonts w:ascii="Times New Roman" w:eastAsia="Times New Roman" w:hAnsi="Times New Roman" w:cs="Times New Roman"/>
          <w:b/>
          <w:bCs/>
        </w:rPr>
        <w:t>1.6 Review Scope and Literature Selection</w:t>
      </w:r>
    </w:p>
    <w:p w:rsidR="009E57F0" w:rsidRPr="00FE1FBD" w:rsidRDefault="00C63927" w:rsidP="00FE1FBD">
      <w:pPr>
        <w:spacing w:before="120" w:after="120" w:line="240" w:lineRule="auto"/>
        <w:rPr>
          <w:rFonts w:ascii="Times New Roman" w:eastAsia="Times New Roman" w:hAnsi="Times New Roman" w:cs="Times New Roman"/>
        </w:rPr>
      </w:pPr>
      <w:r w:rsidRPr="00C63927">
        <w:rPr>
          <w:rFonts w:ascii="Times New Roman" w:eastAsia="Times New Roman" w:hAnsi="Times New Roman" w:cs="Times New Roman"/>
        </w:rPr>
        <w:t>The review was developed as a critical narrative synthesis. Literature was collected from Web of Science, Scopus, IEEE Xplore, ScienceDirect, and Google Scholar, with emphasis on studies published from 2020 to 2025 and selective inclusion of earlier foundational work on power-system cybersecurity, state-estimation attacks, formal verification, and control safety. Search terms combined power cyber-physical systems, AI safety, trustworthy AI, runtime assurance, formal verification, safe reinforcement learning, false data injection, digital twins, federated learning, and human-in-the-loop control. Priority was given to peer-reviewed journal and conference papers, technical standards, and policy documents. Preprints were used only when they were closely related to rapidly evolving topics and no mature peer-reviewed alternative was available.</w:t>
      </w:r>
    </w:p>
    <w:p w:rsidR="00F03768" w:rsidRPr="00FE1FBD" w:rsidRDefault="00F03768" w:rsidP="00FE1FBD">
      <w:pPr>
        <w:spacing w:before="120" w:after="120" w:line="240" w:lineRule="auto"/>
        <w:outlineLvl w:val="0"/>
        <w:rPr>
          <w:rFonts w:ascii="Times New Roman" w:eastAsia="Times New Roman" w:hAnsi="Times New Roman" w:cs="Times New Roman"/>
          <w:b/>
          <w:bCs/>
          <w:kern w:val="36"/>
        </w:rPr>
      </w:pPr>
      <w:r w:rsidRPr="00FE1FBD">
        <w:rPr>
          <w:rFonts w:ascii="Times New Roman" w:eastAsia="Times New Roman" w:hAnsi="Times New Roman" w:cs="Times New Roman"/>
          <w:b/>
          <w:bCs/>
          <w:kern w:val="36"/>
        </w:rPr>
        <w:t>2. Foundations of Safety in AI Systems</w:t>
      </w:r>
    </w:p>
    <w:p w:rsidR="00F03768" w:rsidRPr="00FE1FBD" w:rsidRDefault="0075488B"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The meaning of safety in artificial intelligence (AI) has expanded from a narrow concern with model robustness to a broader concern with assurance across the full socio-technical system [42-45]. In critical infrastructures such as Power CPS, this shift is especially important because AI components do not operate in isolation: they interact with sensing devices, communication networks, market mechanisms, control loops, protection logics, and human operators [46-48]. As </w:t>
      </w:r>
      <w:r w:rsidRPr="00FE1FBD">
        <w:rPr>
          <w:rFonts w:ascii="Times New Roman" w:eastAsia="Times New Roman" w:hAnsi="Times New Roman" w:cs="Times New Roman"/>
        </w:rPr>
        <w:lastRenderedPageBreak/>
        <w:t>a result, Safe AI in Power CPS should be understood not simply as a property of an algorithm, but as a cross-layer capability that combines technical reliability, operational resilience, cyber integrity, and accountable human oversight [49-50].</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2.1 Evolution of AI Safety: From Robustness to Assurance</w:t>
      </w:r>
    </w:p>
    <w:p w:rsidR="00FA74E6" w:rsidRPr="00FE1FBD" w:rsidRDefault="00FA74E6"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Early work on AI safety focused primarily on model-level robustness. The main objective was to make algorithms less sensitive to noise, perturbations, and adversarial manipulation, thereby improving predictive stability and numerical consistency. Such efforts remain important, but they are not sufficient for safety-critical applications [51]. In Power CPS, AI models are embedded in closed decision loops that influence forecasting, dispatch, protection support, market participation, and emergency response. Under these conditions, model errors can propagate beyond inaccurate prediction and lead to physical consequences such as voltage violations, frequency instability, equipment stress, or cascading outages [52-54].</w:t>
      </w:r>
    </w:p>
    <w:p w:rsidR="00F03768" w:rsidRPr="00FE1FBD" w:rsidRDefault="00FA74E6"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Accordingly, the concept of safety has evolved from isolated model reliability to system-level assurance. This broader perspective asks whether the combined operation of data, models, networks, controllers, and human decision-makers remains within acceptable safety boundaries. The transition is analogous to earlier developments in aerospace and nuclear engineering, where the focus moved from reliable components to dependable systems. A similar shift is now occurring in Power CPS, where AI safety must reconcile learning uncertainty with physical constraints, protection logic, and operator responsibility [55].</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2.2 Dimensions and Interdependencies of Safety</w:t>
      </w:r>
    </w:p>
    <w:p w:rsidR="00C565B1" w:rsidRPr="00FE1FBD" w:rsidRDefault="00C565B1"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Safety in AI-enabled Power CPS is multi-dimensional. It cannot be reduced to a single property such as robustness, accuracy, or cybersecurity. Instead, it should be viewed as a layered construct in which failures in one dimension may propagate into others.</w:t>
      </w:r>
    </w:p>
    <w:p w:rsidR="00C565B1" w:rsidRPr="00FE1FBD" w:rsidRDefault="00C565B1"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A first layer concerns data and model safety. Data safety relates to the integrity, representativeness, timeliness, and trustworthiness of the data used for training and inference. In power systems, measurements from PMUs, SCADA platforms, intelligent electronic devices, and market interfaces may be noisy, biased, incomplete, or maliciously manipulated [56-58]. Because learning outcomes are directly shaped by data quality, compromised data can undermine downstream model safety. Model safety, in turn, concerns the reliability of AI predictions and decisions under distribution shift, abnormal operating conditions, or imperfect observability. This includes robustness to perturbations, uncertainty quantification, calibration quality, and the ability to avoid unsafe overconfidence [59-62].</w:t>
      </w:r>
    </w:p>
    <w:p w:rsidR="00C565B1" w:rsidRPr="00FE1FBD" w:rsidRDefault="00C565B1"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A second layer concerns functional and control safety. Functional safety refers to the requirement that system actions should not produce unacceptable hazards even under abnormal conditions, faults, or component failures. In AI-assisted voltage regulation, distributed generation control, and restoration support, this means that learned decisions must remain within predefined operational limits and should fail safely when confidence is inadequate [63-65]. Closely related but distinct is control safety, which focuses on the compatibility of AI-generated actions with the dynamic laws of the underlying electromechanical system. A model may appear accurate at the algorithmic level, yet still destabilize a feedback loop if its outputs are not aligned with system inertia, delay, coupling, or protection constraints.</w:t>
      </w:r>
    </w:p>
    <w:p w:rsidR="00C565B1" w:rsidRPr="00FE1FBD" w:rsidRDefault="00C565B1"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A third layer concerns human and cyber safety. Human–AI safety addresses whether operators can understand, supervise, calibrate, and, when necessary, override AI behavior. Excessive reliance on opaque recommendations may reduce situational awareness, whereas excessive distrust may prevent the use of potentially valuable automation. Safe AI therefore requires interpretable outputs, traceable decision logic, and properly designed intervention mechanisms. Cyber safety cuts across all layers by protecting data pipelines, models, communication channels, </w:t>
      </w:r>
      <w:r w:rsidRPr="00FE1FBD">
        <w:rPr>
          <w:rFonts w:ascii="Times New Roman" w:eastAsia="Times New Roman" w:hAnsi="Times New Roman" w:cs="Times New Roman"/>
        </w:rPr>
        <w:lastRenderedPageBreak/>
        <w:t>and control interfaces against adversarial interference, model poisoning, or deceptive inputs [66-68].</w:t>
      </w:r>
    </w:p>
    <w:p w:rsidR="00F03768" w:rsidRPr="00FE1FBD" w:rsidRDefault="00C565B1"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These dimensions are strongly interdependent in Power CPS. A single weakness—such as poisoned training data, delayed measurements, or an uncalibrated controller—may simultaneously affect model reliability, cyber integrity, and physical stability. For this reason, Safe AI in Power CPS should be approached as a co-design problem spanning data, models, control loops, security mechanisms, and human supervision rather than as a collection of isolated safeguards [69-70].</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 xml:space="preserve">2.3 Embedding Safety </w:t>
      </w:r>
      <w:r w:rsidR="00360CA8" w:rsidRPr="00FE1FBD">
        <w:rPr>
          <w:rFonts w:ascii="Times New Roman" w:eastAsia="Times New Roman" w:hAnsi="Times New Roman" w:cs="Times New Roman"/>
          <w:b/>
          <w:bCs/>
        </w:rPr>
        <w:t>across</w:t>
      </w:r>
      <w:r w:rsidRPr="00FE1FBD">
        <w:rPr>
          <w:rFonts w:ascii="Times New Roman" w:eastAsia="Times New Roman" w:hAnsi="Times New Roman" w:cs="Times New Roman"/>
          <w:b/>
          <w:bCs/>
        </w:rPr>
        <w:t xml:space="preserve"> the AI Lifecycle</w:t>
      </w:r>
    </w:p>
    <w:p w:rsidR="00A171CD" w:rsidRPr="00FE1FBD" w:rsidRDefault="00A171CD"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Safety cannot be appended to AI after model training; it must be embedded throughout the AI lifecycle. In the requirement and design phase, system-level safety objectives should be translated into algorithmic specifications, including operational constraints, acceptable risk thresholds, and fallback conditions. During data acquisition and preparation, provenance tracking, bias screening, anomaly filtering, and quality assurance are needed to prevent unsafe or misleading correlations from entering the learning pipeline [71-73].</w:t>
      </w:r>
    </w:p>
    <w:p w:rsidR="00A171CD" w:rsidRPr="00FE1FBD" w:rsidRDefault="00A171CD"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In the training and validation phase, safety-oriented methods such as adversarial training, uncertainty regularization, ensemble validation, constraint-aware optimization, and stress testing can improve robustness and reduce unsafe generalization. However, safety assurance does not end once a model achieves satisfactory offline performance. In deployment, AI systems operate in non-stationary environments shaped by changing topologies, evolving demand patterns, renewable intermittency, cyber threats, and operator interventions.</w:t>
      </w:r>
    </w:p>
    <w:p w:rsidR="00F03768" w:rsidRPr="00FE1FBD" w:rsidRDefault="00A171CD"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For this reason, the operational phase should incorporate runtime monitoring, anomaly detection, compliance checking, and controlled model updating. Runtime verification tools can assess whether AI decisions remain within physical, regulatory, and procedural boundaries during real operation. When deviations or unsafe conditions are detected, fallback mechanisms should shift authority to verified rule-based controllers or human-supervised operation [74-75]. In this sense, Safe AI should be treated as a lifecycle assurance process, not as a one-time certification outcome.</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2.4 Existing Frameworks and Their Limitations</w:t>
      </w:r>
    </w:p>
    <w:p w:rsidR="00F03768" w:rsidRPr="00FE1FBD" w:rsidRDefault="00E75702"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Several international institutions have proposed frameworks for AI safety, trustworthiness, and risk governance [76-78]. The NIST AI Risk Management Framework (AI RMF 1.0) structures AI risk management into the functions of govern, map, measure, and manage, thereby providing a useful lifecycle-oriented foundation. The EU AI Act introduces a risk-based regulatory structure and emphasizes transparency, human oversight, and obligations for high-risk applications, including those relevant to energy systems [79-81]. IEEE P7009 addresses fail-safe design in autonomous and semi-autonomous systems, highlighting fallback logic and runtime supervision, while ISO/IEC TR 24028 provides a broader perspective on AI trustworthiness,  safety, and resilience [82]. The major frameworks most relevant to Power CPS are compared in Table 1.</w:t>
      </w:r>
    </w:p>
    <w:p w:rsidR="00044BD1" w:rsidRPr="00FE1FBD" w:rsidRDefault="00044BD1" w:rsidP="00FE1FBD">
      <w:pPr>
        <w:spacing w:before="120" w:after="120" w:line="240" w:lineRule="auto"/>
        <w:rPr>
          <w:rFonts w:ascii="Times New Roman" w:eastAsia="Times New Roman" w:hAnsi="Times New Roman" w:cs="Times New Roman"/>
          <w:b/>
        </w:rPr>
      </w:pPr>
      <w:r w:rsidRPr="00FE1FBD">
        <w:rPr>
          <w:rFonts w:ascii="Times New Roman" w:eastAsia="Times New Roman" w:hAnsi="Times New Roman" w:cs="Times New Roman"/>
          <w:b/>
        </w:rPr>
        <w:t xml:space="preserve">Table 1. </w:t>
      </w:r>
      <w:r w:rsidR="00400CAF" w:rsidRPr="00FE1FBD">
        <w:rPr>
          <w:rFonts w:ascii="Times New Roman" w:eastAsia="Times New Roman" w:hAnsi="Times New Roman" w:cs="Times New Roman"/>
          <w:b/>
        </w:rPr>
        <w:t>Comparison of major AI safety and assurance frameworks relevant to Power CPS</w:t>
      </w:r>
    </w:p>
    <w:tbl>
      <w:tblPr>
        <w:tblStyle w:val="a9"/>
        <w:tblW w:w="0" w:type="auto"/>
        <w:tblLook w:val="04A0" w:firstRow="1" w:lastRow="0" w:firstColumn="1" w:lastColumn="0" w:noHBand="0" w:noVBand="1"/>
      </w:tblPr>
      <w:tblGrid>
        <w:gridCol w:w="1726"/>
        <w:gridCol w:w="1726"/>
        <w:gridCol w:w="1726"/>
        <w:gridCol w:w="1726"/>
        <w:gridCol w:w="1726"/>
      </w:tblGrid>
      <w:tr w:rsidR="00044BD1" w:rsidRPr="00FE1FBD" w:rsidTr="00044BD1">
        <w:tc>
          <w:tcPr>
            <w:tcW w:w="1726" w:type="dxa"/>
          </w:tcPr>
          <w:p w:rsidR="00044BD1" w:rsidRPr="00FE1FBD" w:rsidRDefault="00044BD1" w:rsidP="00B36097">
            <w:pPr>
              <w:rPr>
                <w:rFonts w:ascii="Times New Roman" w:hAnsi="Times New Roman" w:cs="Times New Roman"/>
                <w:b/>
              </w:rPr>
            </w:pPr>
            <w:r w:rsidRPr="00FE1FBD">
              <w:rPr>
                <w:rFonts w:ascii="Times New Roman" w:hAnsi="Times New Roman" w:cs="Times New Roman"/>
                <w:b/>
              </w:rPr>
              <w:t>Framework</w:t>
            </w:r>
          </w:p>
        </w:tc>
        <w:tc>
          <w:tcPr>
            <w:tcW w:w="1726" w:type="dxa"/>
          </w:tcPr>
          <w:p w:rsidR="00044BD1" w:rsidRPr="00FE1FBD" w:rsidRDefault="00044BD1" w:rsidP="00B36097">
            <w:pPr>
              <w:rPr>
                <w:rFonts w:ascii="Times New Roman" w:hAnsi="Times New Roman" w:cs="Times New Roman"/>
                <w:b/>
              </w:rPr>
            </w:pPr>
            <w:r w:rsidRPr="00FE1FBD">
              <w:rPr>
                <w:rFonts w:ascii="Times New Roman" w:hAnsi="Times New Roman" w:cs="Times New Roman"/>
                <w:b/>
              </w:rPr>
              <w:t>Issuing Body</w:t>
            </w:r>
          </w:p>
        </w:tc>
        <w:tc>
          <w:tcPr>
            <w:tcW w:w="1726" w:type="dxa"/>
          </w:tcPr>
          <w:p w:rsidR="00044BD1" w:rsidRPr="00FE1FBD" w:rsidRDefault="00044BD1" w:rsidP="00B36097">
            <w:pPr>
              <w:rPr>
                <w:rFonts w:ascii="Times New Roman" w:hAnsi="Times New Roman" w:cs="Times New Roman"/>
                <w:b/>
              </w:rPr>
            </w:pPr>
            <w:r w:rsidRPr="00FE1FBD">
              <w:rPr>
                <w:rFonts w:ascii="Times New Roman" w:hAnsi="Times New Roman" w:cs="Times New Roman"/>
                <w:b/>
              </w:rPr>
              <w:t>Focus Scope</w:t>
            </w:r>
          </w:p>
        </w:tc>
        <w:tc>
          <w:tcPr>
            <w:tcW w:w="1726" w:type="dxa"/>
          </w:tcPr>
          <w:p w:rsidR="00044BD1" w:rsidRPr="00FE1FBD" w:rsidRDefault="00044BD1" w:rsidP="00B36097">
            <w:pPr>
              <w:rPr>
                <w:rFonts w:ascii="Times New Roman" w:hAnsi="Times New Roman" w:cs="Times New Roman"/>
                <w:b/>
              </w:rPr>
            </w:pPr>
            <w:r w:rsidRPr="00FE1FBD">
              <w:rPr>
                <w:rFonts w:ascii="Times New Roman" w:hAnsi="Times New Roman" w:cs="Times New Roman"/>
                <w:b/>
              </w:rPr>
              <w:t>Key Safety Dimensions</w:t>
            </w:r>
          </w:p>
        </w:tc>
        <w:tc>
          <w:tcPr>
            <w:tcW w:w="1726" w:type="dxa"/>
          </w:tcPr>
          <w:p w:rsidR="00044BD1" w:rsidRPr="00FE1FBD" w:rsidRDefault="00044BD1" w:rsidP="00B36097">
            <w:pPr>
              <w:rPr>
                <w:rFonts w:ascii="Times New Roman" w:hAnsi="Times New Roman" w:cs="Times New Roman"/>
                <w:b/>
              </w:rPr>
            </w:pPr>
            <w:r w:rsidRPr="00FE1FBD">
              <w:rPr>
                <w:rFonts w:ascii="Times New Roman" w:hAnsi="Times New Roman" w:cs="Times New Roman"/>
                <w:b/>
              </w:rPr>
              <w:t>Applicability to Power CPS</w:t>
            </w:r>
          </w:p>
        </w:tc>
      </w:tr>
      <w:tr w:rsidR="00044BD1" w:rsidRPr="00FE1FBD" w:rsidTr="00044BD1">
        <w:tc>
          <w:tcPr>
            <w:tcW w:w="1726" w:type="dxa"/>
          </w:tcPr>
          <w:p w:rsidR="00044BD1" w:rsidRPr="00FE1FBD" w:rsidRDefault="00044BD1" w:rsidP="00B36097">
            <w:pPr>
              <w:rPr>
                <w:rFonts w:ascii="Times New Roman" w:hAnsi="Times New Roman" w:cs="Times New Roman"/>
              </w:rPr>
            </w:pPr>
            <w:r w:rsidRPr="00FE1FBD">
              <w:rPr>
                <w:rFonts w:ascii="Times New Roman" w:hAnsi="Times New Roman" w:cs="Times New Roman"/>
              </w:rPr>
              <w:t>NIST AI RMF (2023)</w:t>
            </w:r>
          </w:p>
        </w:tc>
        <w:tc>
          <w:tcPr>
            <w:tcW w:w="1726" w:type="dxa"/>
          </w:tcPr>
          <w:p w:rsidR="00044BD1" w:rsidRPr="00FE1FBD" w:rsidRDefault="00044BD1" w:rsidP="00B36097">
            <w:pPr>
              <w:rPr>
                <w:rFonts w:ascii="Times New Roman" w:hAnsi="Times New Roman" w:cs="Times New Roman"/>
              </w:rPr>
            </w:pPr>
            <w:r w:rsidRPr="00FE1FBD">
              <w:rPr>
                <w:rFonts w:ascii="Times New Roman" w:hAnsi="Times New Roman" w:cs="Times New Roman"/>
              </w:rPr>
              <w:t>NIST, USA</w:t>
            </w:r>
          </w:p>
        </w:tc>
        <w:tc>
          <w:tcPr>
            <w:tcW w:w="1726" w:type="dxa"/>
          </w:tcPr>
          <w:p w:rsidR="00044BD1" w:rsidRPr="00FE1FBD" w:rsidRDefault="00044BD1" w:rsidP="00B36097">
            <w:pPr>
              <w:rPr>
                <w:rFonts w:ascii="Times New Roman" w:hAnsi="Times New Roman" w:cs="Times New Roman"/>
              </w:rPr>
            </w:pPr>
            <w:r w:rsidRPr="00FE1FBD">
              <w:rPr>
                <w:rFonts w:ascii="Times New Roman" w:hAnsi="Times New Roman" w:cs="Times New Roman"/>
              </w:rPr>
              <w:t>Risk management lifecycle</w:t>
            </w:r>
          </w:p>
        </w:tc>
        <w:tc>
          <w:tcPr>
            <w:tcW w:w="1726" w:type="dxa"/>
          </w:tcPr>
          <w:p w:rsidR="00044BD1" w:rsidRPr="00FE1FBD" w:rsidRDefault="00044BD1" w:rsidP="00B36097">
            <w:pPr>
              <w:rPr>
                <w:rFonts w:ascii="Times New Roman" w:hAnsi="Times New Roman" w:cs="Times New Roman"/>
              </w:rPr>
            </w:pPr>
            <w:r w:rsidRPr="00FE1FBD">
              <w:rPr>
                <w:rFonts w:ascii="Times New Roman" w:hAnsi="Times New Roman" w:cs="Times New Roman"/>
              </w:rPr>
              <w:t>Governance, measurement, mitigation</w:t>
            </w:r>
          </w:p>
        </w:tc>
        <w:tc>
          <w:tcPr>
            <w:tcW w:w="1726" w:type="dxa"/>
          </w:tcPr>
          <w:p w:rsidR="00044BD1" w:rsidRPr="00FE1FBD" w:rsidRDefault="00044BD1" w:rsidP="00B36097">
            <w:pPr>
              <w:rPr>
                <w:rFonts w:ascii="Times New Roman" w:hAnsi="Times New Roman" w:cs="Times New Roman"/>
              </w:rPr>
            </w:pPr>
            <w:r w:rsidRPr="00FE1FBD">
              <w:rPr>
                <w:rFonts w:ascii="Times New Roman" w:hAnsi="Times New Roman" w:cs="Times New Roman"/>
              </w:rPr>
              <w:t>High for AI management systems</w:t>
            </w:r>
          </w:p>
        </w:tc>
      </w:tr>
      <w:tr w:rsidR="00044BD1" w:rsidRPr="00FE1FBD" w:rsidTr="00044BD1">
        <w:tc>
          <w:tcPr>
            <w:tcW w:w="1726" w:type="dxa"/>
          </w:tcPr>
          <w:p w:rsidR="00044BD1" w:rsidRPr="00FE1FBD" w:rsidRDefault="00044BD1" w:rsidP="00B36097">
            <w:pPr>
              <w:rPr>
                <w:rFonts w:ascii="Times New Roman" w:hAnsi="Times New Roman" w:cs="Times New Roman"/>
              </w:rPr>
            </w:pPr>
            <w:r w:rsidRPr="00FE1FBD">
              <w:rPr>
                <w:rFonts w:ascii="Times New Roman" w:hAnsi="Times New Roman" w:cs="Times New Roman"/>
              </w:rPr>
              <w:lastRenderedPageBreak/>
              <w:t>EU AI Act (2024)</w:t>
            </w:r>
          </w:p>
        </w:tc>
        <w:tc>
          <w:tcPr>
            <w:tcW w:w="1726" w:type="dxa"/>
          </w:tcPr>
          <w:p w:rsidR="00044BD1" w:rsidRPr="00FE1FBD" w:rsidRDefault="00044BD1" w:rsidP="00B36097">
            <w:pPr>
              <w:rPr>
                <w:rFonts w:ascii="Times New Roman" w:hAnsi="Times New Roman" w:cs="Times New Roman"/>
              </w:rPr>
            </w:pPr>
            <w:r w:rsidRPr="00FE1FBD">
              <w:rPr>
                <w:rFonts w:ascii="Times New Roman" w:hAnsi="Times New Roman" w:cs="Times New Roman"/>
              </w:rPr>
              <w:t>European Commission</w:t>
            </w:r>
          </w:p>
        </w:tc>
        <w:tc>
          <w:tcPr>
            <w:tcW w:w="1726" w:type="dxa"/>
          </w:tcPr>
          <w:p w:rsidR="00044BD1" w:rsidRPr="00FE1FBD" w:rsidRDefault="00044BD1" w:rsidP="00B36097">
            <w:pPr>
              <w:rPr>
                <w:rFonts w:ascii="Times New Roman" w:hAnsi="Times New Roman" w:cs="Times New Roman"/>
              </w:rPr>
            </w:pPr>
            <w:r w:rsidRPr="00FE1FBD">
              <w:rPr>
                <w:rFonts w:ascii="Times New Roman" w:hAnsi="Times New Roman" w:cs="Times New Roman"/>
              </w:rPr>
              <w:t>Legal &amp; ethical regulation</w:t>
            </w:r>
          </w:p>
        </w:tc>
        <w:tc>
          <w:tcPr>
            <w:tcW w:w="1726" w:type="dxa"/>
          </w:tcPr>
          <w:p w:rsidR="00044BD1" w:rsidRPr="00FE1FBD" w:rsidRDefault="00044BD1" w:rsidP="00B36097">
            <w:pPr>
              <w:rPr>
                <w:rFonts w:ascii="Times New Roman" w:hAnsi="Times New Roman" w:cs="Times New Roman"/>
              </w:rPr>
            </w:pPr>
            <w:r w:rsidRPr="00FE1FBD">
              <w:rPr>
                <w:rFonts w:ascii="Times New Roman" w:hAnsi="Times New Roman" w:cs="Times New Roman"/>
              </w:rPr>
              <w:t>Human oversight, transparency</w:t>
            </w:r>
          </w:p>
        </w:tc>
        <w:tc>
          <w:tcPr>
            <w:tcW w:w="1726" w:type="dxa"/>
          </w:tcPr>
          <w:p w:rsidR="00044BD1" w:rsidRPr="00FE1FBD" w:rsidRDefault="00044BD1" w:rsidP="00B36097">
            <w:pPr>
              <w:rPr>
                <w:rFonts w:ascii="Times New Roman" w:hAnsi="Times New Roman" w:cs="Times New Roman"/>
              </w:rPr>
            </w:pPr>
            <w:r w:rsidRPr="00FE1FBD">
              <w:rPr>
                <w:rFonts w:ascii="Times New Roman" w:hAnsi="Times New Roman" w:cs="Times New Roman"/>
              </w:rPr>
              <w:t>Moderate (policy-level)</w:t>
            </w:r>
          </w:p>
        </w:tc>
      </w:tr>
      <w:tr w:rsidR="00044BD1" w:rsidRPr="00FE1FBD" w:rsidTr="00044BD1">
        <w:tc>
          <w:tcPr>
            <w:tcW w:w="1726" w:type="dxa"/>
          </w:tcPr>
          <w:p w:rsidR="00044BD1" w:rsidRPr="00FE1FBD" w:rsidRDefault="00044BD1" w:rsidP="00B36097">
            <w:pPr>
              <w:rPr>
                <w:rFonts w:ascii="Times New Roman" w:hAnsi="Times New Roman" w:cs="Times New Roman"/>
              </w:rPr>
            </w:pPr>
            <w:r w:rsidRPr="00FE1FBD">
              <w:rPr>
                <w:rFonts w:ascii="Times New Roman" w:hAnsi="Times New Roman" w:cs="Times New Roman"/>
              </w:rPr>
              <w:t>IEEE P7009</w:t>
            </w:r>
          </w:p>
        </w:tc>
        <w:tc>
          <w:tcPr>
            <w:tcW w:w="1726" w:type="dxa"/>
          </w:tcPr>
          <w:p w:rsidR="00044BD1" w:rsidRPr="00FE1FBD" w:rsidRDefault="00044BD1" w:rsidP="00B36097">
            <w:pPr>
              <w:rPr>
                <w:rFonts w:ascii="Times New Roman" w:hAnsi="Times New Roman" w:cs="Times New Roman"/>
              </w:rPr>
            </w:pPr>
            <w:r w:rsidRPr="00FE1FBD">
              <w:rPr>
                <w:rFonts w:ascii="Times New Roman" w:hAnsi="Times New Roman" w:cs="Times New Roman"/>
              </w:rPr>
              <w:t>IEEE Standards Association</w:t>
            </w:r>
          </w:p>
        </w:tc>
        <w:tc>
          <w:tcPr>
            <w:tcW w:w="1726" w:type="dxa"/>
          </w:tcPr>
          <w:p w:rsidR="00044BD1" w:rsidRPr="00FE1FBD" w:rsidRDefault="00044BD1" w:rsidP="00B36097">
            <w:pPr>
              <w:rPr>
                <w:rFonts w:ascii="Times New Roman" w:hAnsi="Times New Roman" w:cs="Times New Roman"/>
              </w:rPr>
            </w:pPr>
            <w:r w:rsidRPr="00FE1FBD">
              <w:rPr>
                <w:rFonts w:ascii="Times New Roman" w:hAnsi="Times New Roman" w:cs="Times New Roman"/>
              </w:rPr>
              <w:t>Fail-safe autonomous design</w:t>
            </w:r>
          </w:p>
        </w:tc>
        <w:tc>
          <w:tcPr>
            <w:tcW w:w="1726" w:type="dxa"/>
          </w:tcPr>
          <w:p w:rsidR="00044BD1" w:rsidRPr="00FE1FBD" w:rsidRDefault="00044BD1" w:rsidP="00B36097">
            <w:pPr>
              <w:rPr>
                <w:rFonts w:ascii="Times New Roman" w:hAnsi="Times New Roman" w:cs="Times New Roman"/>
              </w:rPr>
            </w:pPr>
            <w:r w:rsidRPr="00FE1FBD">
              <w:rPr>
                <w:rFonts w:ascii="Times New Roman" w:hAnsi="Times New Roman" w:cs="Times New Roman"/>
              </w:rPr>
              <w:t>Runtime monitoring, fallback</w:t>
            </w:r>
          </w:p>
        </w:tc>
        <w:tc>
          <w:tcPr>
            <w:tcW w:w="1726" w:type="dxa"/>
          </w:tcPr>
          <w:p w:rsidR="00044BD1" w:rsidRPr="00FE1FBD" w:rsidRDefault="00044BD1" w:rsidP="00B36097">
            <w:pPr>
              <w:rPr>
                <w:rFonts w:ascii="Times New Roman" w:hAnsi="Times New Roman" w:cs="Times New Roman"/>
              </w:rPr>
            </w:pPr>
            <w:r w:rsidRPr="00FE1FBD">
              <w:rPr>
                <w:rFonts w:ascii="Times New Roman" w:hAnsi="Times New Roman" w:cs="Times New Roman"/>
              </w:rPr>
              <w:t>High for control systems</w:t>
            </w:r>
          </w:p>
        </w:tc>
      </w:tr>
      <w:tr w:rsidR="00044BD1" w:rsidRPr="00FE1FBD" w:rsidTr="00044BD1">
        <w:tc>
          <w:tcPr>
            <w:tcW w:w="1726" w:type="dxa"/>
          </w:tcPr>
          <w:p w:rsidR="00044BD1" w:rsidRPr="00FE1FBD" w:rsidRDefault="00044BD1" w:rsidP="00B36097">
            <w:pPr>
              <w:rPr>
                <w:rFonts w:ascii="Times New Roman" w:hAnsi="Times New Roman" w:cs="Times New Roman"/>
              </w:rPr>
            </w:pPr>
            <w:r w:rsidRPr="00FE1FBD">
              <w:rPr>
                <w:rFonts w:ascii="Times New Roman" w:hAnsi="Times New Roman" w:cs="Times New Roman"/>
              </w:rPr>
              <w:t>ISO/IEC TR 24028</w:t>
            </w:r>
          </w:p>
        </w:tc>
        <w:tc>
          <w:tcPr>
            <w:tcW w:w="1726" w:type="dxa"/>
          </w:tcPr>
          <w:p w:rsidR="00044BD1" w:rsidRPr="00FE1FBD" w:rsidRDefault="00044BD1" w:rsidP="00B36097">
            <w:pPr>
              <w:rPr>
                <w:rFonts w:ascii="Times New Roman" w:hAnsi="Times New Roman" w:cs="Times New Roman"/>
              </w:rPr>
            </w:pPr>
            <w:r w:rsidRPr="00FE1FBD">
              <w:rPr>
                <w:rFonts w:ascii="Times New Roman" w:hAnsi="Times New Roman" w:cs="Times New Roman"/>
              </w:rPr>
              <w:t>ISO &amp; IEC</w:t>
            </w:r>
          </w:p>
        </w:tc>
        <w:tc>
          <w:tcPr>
            <w:tcW w:w="1726" w:type="dxa"/>
          </w:tcPr>
          <w:p w:rsidR="00044BD1" w:rsidRPr="00FE1FBD" w:rsidRDefault="00044BD1" w:rsidP="00B36097">
            <w:pPr>
              <w:rPr>
                <w:rFonts w:ascii="Times New Roman" w:hAnsi="Times New Roman" w:cs="Times New Roman"/>
              </w:rPr>
            </w:pPr>
            <w:r w:rsidRPr="00FE1FBD">
              <w:rPr>
                <w:rFonts w:ascii="Times New Roman" w:hAnsi="Times New Roman" w:cs="Times New Roman"/>
              </w:rPr>
              <w:t>Trustworthiness &amp; robustness</w:t>
            </w:r>
          </w:p>
        </w:tc>
        <w:tc>
          <w:tcPr>
            <w:tcW w:w="1726" w:type="dxa"/>
          </w:tcPr>
          <w:p w:rsidR="00044BD1" w:rsidRPr="00FE1FBD" w:rsidRDefault="00044BD1" w:rsidP="00B36097">
            <w:pPr>
              <w:rPr>
                <w:rFonts w:ascii="Times New Roman" w:hAnsi="Times New Roman" w:cs="Times New Roman"/>
              </w:rPr>
            </w:pPr>
            <w:r w:rsidRPr="00FE1FBD">
              <w:rPr>
                <w:rFonts w:ascii="Times New Roman" w:hAnsi="Times New Roman" w:cs="Times New Roman"/>
              </w:rPr>
              <w:t>Safety, security, resilience</w:t>
            </w:r>
          </w:p>
        </w:tc>
        <w:tc>
          <w:tcPr>
            <w:tcW w:w="1726" w:type="dxa"/>
          </w:tcPr>
          <w:p w:rsidR="00044BD1" w:rsidRPr="00FE1FBD" w:rsidRDefault="00044BD1" w:rsidP="00B36097">
            <w:pPr>
              <w:rPr>
                <w:rFonts w:ascii="Times New Roman" w:hAnsi="Times New Roman" w:cs="Times New Roman"/>
              </w:rPr>
            </w:pPr>
            <w:r w:rsidRPr="00FE1FBD">
              <w:rPr>
                <w:rFonts w:ascii="Times New Roman" w:hAnsi="Times New Roman" w:cs="Times New Roman"/>
              </w:rPr>
              <w:t>General AI systems</w:t>
            </w:r>
          </w:p>
        </w:tc>
      </w:tr>
    </w:tbl>
    <w:p w:rsidR="00044BD1" w:rsidRPr="00FE1FBD" w:rsidRDefault="00044BD1" w:rsidP="00FE1FBD">
      <w:pPr>
        <w:spacing w:before="120" w:after="120" w:line="240" w:lineRule="auto"/>
        <w:rPr>
          <w:rFonts w:ascii="Times New Roman" w:eastAsia="Times New Roman" w:hAnsi="Times New Roman" w:cs="Times New Roman"/>
          <w:vanish/>
        </w:rPr>
      </w:pPr>
    </w:p>
    <w:p w:rsidR="00044BD1" w:rsidRPr="00FE1FBD" w:rsidRDefault="00044BD1" w:rsidP="00FE1FBD">
      <w:pPr>
        <w:spacing w:before="120" w:after="120" w:line="240" w:lineRule="auto"/>
        <w:rPr>
          <w:rFonts w:ascii="Times New Roman" w:eastAsia="Times New Roman" w:hAnsi="Times New Roman" w:cs="Times New Roman"/>
          <w:vanish/>
        </w:rPr>
      </w:pPr>
    </w:p>
    <w:p w:rsidR="00044BD1" w:rsidRPr="00FE1FBD" w:rsidRDefault="00044BD1" w:rsidP="00FE1FBD">
      <w:pPr>
        <w:spacing w:before="120" w:after="120" w:line="240" w:lineRule="auto"/>
        <w:rPr>
          <w:rFonts w:ascii="Times New Roman" w:eastAsia="Times New Roman" w:hAnsi="Times New Roman" w:cs="Times New Roman"/>
          <w:vanish/>
        </w:rPr>
      </w:pPr>
    </w:p>
    <w:p w:rsidR="00044BD1" w:rsidRPr="00FE1FBD" w:rsidRDefault="00044BD1" w:rsidP="00FE1FBD">
      <w:pPr>
        <w:spacing w:before="120" w:after="120" w:line="240" w:lineRule="auto"/>
        <w:rPr>
          <w:rFonts w:ascii="Times New Roman" w:eastAsia="Times New Roman" w:hAnsi="Times New Roman" w:cs="Times New Roman"/>
          <w:vanish/>
        </w:rPr>
      </w:pPr>
    </w:p>
    <w:p w:rsidR="00F03768" w:rsidRPr="00FE1FBD" w:rsidRDefault="00A47782"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Despite their value, these frameworks remain largely domain-agnostic. They do not fully address the temporal, physical, and operational requirements of Power CPS, where decisions may need to be validated on millisecond-to-minute timescales and where unsafe AI actions can propagate rapidly through tightly coupled physical infrastructure [83-85]. In addition, their connection to control-theoretic safety analysis, online verification, and established power-engineering standards—such as IEC 61850 for communication and IEEE C37 series for protection—remains limited [86-87]. Therefore, applying these frameworks in power systems requires domain-specific interpretation and integration with real-time operational assurance mechanisms.</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2.5 Toward a Domain-Specific Definition of Safe AI</w:t>
      </w:r>
    </w:p>
    <w:p w:rsidR="00A07F5C" w:rsidRPr="00FE1FBD" w:rsidRDefault="00A07F5C"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Given the tight coupling between cyber intelligence and physical grid dynamics, Safe AI in Power CPS may be defined as the capability of AI-enabled functions to operate reliably, remain compliant with physical and cyber constraints, and recover safely from disturbances, uncertainty, or adversarial influence under system-level and human supervision [88-90]. This definition emphasizes that safety is not determined solely by predictive performance; rather, it depends on whether AI behavior remains bounded, interpretable, and recoverable within the operational context of the grid.</w:t>
      </w:r>
    </w:p>
    <w:p w:rsidR="00A07F5C" w:rsidRPr="00FE1FBD" w:rsidRDefault="00A07F5C"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Three core attributes are especially important. The first is reliability, meaning that AI-enabled functions should maintain acceptable performance under variable and imperfect operating conditions. The second is integrity, meaning that the data, models, and decision pathways should remain resistant to accidental corruption, malicious manipulation, or misleading inputs. The third is recoverability, meaning that deviations, faults, or unsafe actions can be detected in time and followed by safe fallback, correction, or restoration.</w:t>
      </w:r>
    </w:p>
    <w:p w:rsidR="00F03768" w:rsidRPr="00FE1FBD" w:rsidRDefault="00A07F5C"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What distinguishes this definition from generic AI safety concepts is its explicit cross-domain character. For example, the safety of an AI-based frequency controller depends not only on forecasting or control accuracy, but also on communication delays, protection coordination, actuator response, and operator override policies. Likewise, the safety of an AI-based intrusion detector depends not only on detection performance, but also on resilience to adversarial examples and its interaction with operational response mechanisms. In this sense, Safe AI in Power CPS is best viewed as a cross-layer assurance property emerging from the continuous interaction among models, cyber infrastructure, physical dynamics, and human governance [91-93].</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2.6 Synthesis</w:t>
      </w:r>
    </w:p>
    <w:p w:rsidR="00ED0559" w:rsidRPr="00FE1FBD" w:rsidRDefault="00ED0559"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The foundations of Safe AI lie in extending the notion of AI safety from model robustness to system-level assurance. In Power CPS, this requires simultaneous attention to data and model safety, functional and control safety, and human and cyber safety, all embedded across the AI lifecycle. Existing frameworks such as NIST AI RMF, the EU AI Act, IEEE P7009, and ISO/IEC TR 24028 provide valuable conceptual guidance, but they do not yet offer the domain-specific, real-time, and control-aware assurance required for power-system deployment.</w:t>
      </w:r>
    </w:p>
    <w:p w:rsidR="00F03768" w:rsidRPr="00FE1FBD" w:rsidRDefault="00ED0559"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lastRenderedPageBreak/>
        <w:t>These observations suggest that Safe AI in Power CPS should be understood not as a single technical feature, but as a cross-layer assurance problem spanning data governance, model reliability, physical compliance, runtime supervision, and institutional accountability. Based on this foundation, the next section examines why Power CPS both benefit from AI and remain uniquely exposed to its safety risks.</w:t>
      </w:r>
    </w:p>
    <w:p w:rsidR="00F03768" w:rsidRPr="00FE1FBD" w:rsidRDefault="00F03768" w:rsidP="00FE1FBD">
      <w:pPr>
        <w:spacing w:before="120" w:after="120" w:line="240" w:lineRule="auto"/>
        <w:outlineLvl w:val="0"/>
        <w:rPr>
          <w:rFonts w:ascii="Times New Roman" w:eastAsia="Times New Roman" w:hAnsi="Times New Roman" w:cs="Times New Roman"/>
          <w:b/>
          <w:bCs/>
          <w:kern w:val="36"/>
        </w:rPr>
      </w:pPr>
      <w:r w:rsidRPr="00FE1FBD">
        <w:rPr>
          <w:rFonts w:ascii="Times New Roman" w:eastAsia="Times New Roman" w:hAnsi="Times New Roman" w:cs="Times New Roman"/>
          <w:b/>
          <w:bCs/>
          <w:kern w:val="36"/>
        </w:rPr>
        <w:t xml:space="preserve">3. AI in Power </w:t>
      </w:r>
      <w:r w:rsidR="00402BB2" w:rsidRPr="00FE1FBD">
        <w:rPr>
          <w:rFonts w:ascii="Times New Roman" w:eastAsia="Times New Roman" w:hAnsi="Times New Roman" w:cs="Times New Roman"/>
          <w:b/>
          <w:bCs/>
          <w:kern w:val="36"/>
        </w:rPr>
        <w:t>CPS</w:t>
      </w:r>
      <w:r w:rsidRPr="00FE1FBD">
        <w:rPr>
          <w:rFonts w:ascii="Times New Roman" w:eastAsia="Times New Roman" w:hAnsi="Times New Roman" w:cs="Times New Roman"/>
          <w:b/>
          <w:bCs/>
          <w:kern w:val="36"/>
        </w:rPr>
        <w:t>: Opportunities and Risks</w:t>
      </w:r>
    </w:p>
    <w:p w:rsidR="00F03768" w:rsidRPr="00FE1FBD" w:rsidRDefault="009230A2"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Artificial intelligence is reshaping the operation of modern power systems by moving from peripheral decision support to embedded cyber–physical functionality. In contemporary Power CPS, AI models increasingly participate in sensing, prediction, control, diagnosis, and coordination through tightly coupled digital infrastructures. This integration creates major opportunities for efficiency, adaptability, and resilience, but it also introduces new risks related to uncertainty, opacity, cyber vulnerability, and unstable interaction across system layers. Understanding this dual role is essential for defining the practical scope of Safe AI in Power CPS.</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3.1 Opportunities: Intelligence as an Enabler of Adaptive and Resilient Operation</w:t>
      </w:r>
    </w:p>
    <w:p w:rsidR="009230A2" w:rsidRPr="00FE1FBD" w:rsidRDefault="009230A2" w:rsidP="00FE1FBD">
      <w:pPr>
        <w:spacing w:before="120" w:after="120" w:line="240" w:lineRule="auto"/>
        <w:outlineLvl w:val="2"/>
        <w:rPr>
          <w:rFonts w:ascii="Times New Roman" w:eastAsia="Times New Roman" w:hAnsi="Times New Roman" w:cs="Times New Roman"/>
        </w:rPr>
      </w:pPr>
      <w:r w:rsidRPr="00FE1FBD">
        <w:rPr>
          <w:rFonts w:ascii="Times New Roman" w:eastAsia="Times New Roman" w:hAnsi="Times New Roman" w:cs="Times New Roman"/>
        </w:rPr>
        <w:t>A primary advantage of AI lies in its ability to extract complex patterns from heterogeneous data that are difficult to capture using conventional rule-based or statistical methods. Deep learning models trained on phasor measurements, meteorological data, and market information have improved load and renewable generation forecasting, thereby supporting reserve reduction, dispatch refinement, and more flexible network operation under uncertainty [94-95].</w:t>
      </w:r>
    </w:p>
    <w:p w:rsidR="009230A2" w:rsidRPr="00FE1FBD" w:rsidRDefault="009230A2" w:rsidP="00FE1FBD">
      <w:pPr>
        <w:spacing w:before="120" w:after="120" w:line="240" w:lineRule="auto"/>
        <w:outlineLvl w:val="2"/>
        <w:rPr>
          <w:rFonts w:ascii="Times New Roman" w:eastAsia="Times New Roman" w:hAnsi="Times New Roman" w:cs="Times New Roman"/>
        </w:rPr>
      </w:pPr>
      <w:r w:rsidRPr="00FE1FBD">
        <w:rPr>
          <w:rFonts w:ascii="Times New Roman" w:eastAsia="Times New Roman" w:hAnsi="Times New Roman" w:cs="Times New Roman"/>
        </w:rPr>
        <w:t>AI also enhances adaptive control. Reinforcement learning (RL) has been increasingly explored for voltage and frequency regulation in microgrids and inverter-dominated systems, where operating conditions are nonlinear and time-varying. Compared with fixed-parameter controllers, learning-based agents can adapt to changing conditions through interaction with the environment. In parallel, graph neural networks (GNNs) exploit network topology to improve state estimation, anomaly detection, and contingency screening, offering scalable situational awareness in complex grids [96].</w:t>
      </w:r>
    </w:p>
    <w:p w:rsidR="009230A2" w:rsidRPr="00FE1FBD" w:rsidRDefault="009230A2" w:rsidP="00FE1FBD">
      <w:pPr>
        <w:spacing w:before="120" w:after="120" w:line="240" w:lineRule="auto"/>
        <w:outlineLvl w:val="2"/>
        <w:rPr>
          <w:rFonts w:ascii="Times New Roman" w:eastAsia="Times New Roman" w:hAnsi="Times New Roman" w:cs="Times New Roman"/>
        </w:rPr>
      </w:pPr>
      <w:r w:rsidRPr="00FE1FBD">
        <w:rPr>
          <w:rFonts w:ascii="Times New Roman" w:eastAsia="Times New Roman" w:hAnsi="Times New Roman" w:cs="Times New Roman"/>
        </w:rPr>
        <w:t>Beyond efficiency, AI contributes to resilience. Predictive analytics can support condition monitoring, fault anticipation, and cyber intrusion detection, while learning-based restoration strategies can accelerate redispatch, service recovery, and topology reconfiguration after disturbances. In this sense, AI acts as a cognitive layer that enhances the grid’s ability to perceive, anticipate, and respond to changing conditions [97-98].</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3.2 Integration Across the Cyber-Physical Hierarchy</w:t>
      </w:r>
    </w:p>
    <w:p w:rsidR="003F1596" w:rsidRPr="00FE1FBD" w:rsidRDefault="003F1596"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The significance of AI in Power CPS lies not only in individual applications, but also in its deployment across hierarchical layers of the system. At the device level, intelligent sensors and embedded processors support local monitoring and anomaly response. At the network level, distributed learning coordinates substations, microgrids, and storage assets. At the system level, AI assists with market participation, demand response, and cross-sector energy coordination [99-100].</w:t>
      </w:r>
    </w:p>
    <w:p w:rsidR="00F03768" w:rsidRPr="00FE1FBD" w:rsidRDefault="003F1596"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This multi-layer integration creates a tightly coupled feedback structure: physical states generate data, AI models interpret those data and issue decisions, and the resulting actions alter the physical grid, thereby reshaping the next data stream. AI therefore becomes part of the closed-loop dynamics of Power CPS rather than an external analytical tool. Under this architecture, the safety of the overall system is inseparable from the safety of the AI components embedded within it, and local errors or biases may propagate rapidly across cyber and physical layers [101-103].</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3.3 Risks Emanating from AI Adoption</w:t>
      </w:r>
    </w:p>
    <w:p w:rsidR="002066AC" w:rsidRPr="00FE1FBD" w:rsidRDefault="002066AC"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lastRenderedPageBreak/>
        <w:t>Despite these benefits, AI also introduces new vulnerability channels. One major concern is adversarial manipulation, including data poisoning, deceptive measurements, and perturbed inputs that drive models toward incorrect predictions or unsafe control actions. In intrusion detection, for example, adversarial false-data patterns may evade classification; in reinforcement-learning control, manipulated observations or rewards may push policies toward unsafe operating points [104-105].</w:t>
      </w:r>
    </w:p>
    <w:p w:rsidR="002066AC" w:rsidRPr="00FE1FBD" w:rsidRDefault="002066AC"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Even without malicious interference, model uncertainty and data drift remain important hazards. AI models trained on historical conditions may degrade when renewable patterns shift, new fault modes emerge, or operating regimes evolve. A forecasting model that underestimates a sudden generation drop may trigger dispatch actions that erode frequency stability or reserve adequacy. Because AI models depend on learned correlations, their validity may deteriorate as the environment changes [104-105].</w:t>
      </w:r>
      <w:r w:rsidR="000E718A">
        <w:rPr>
          <w:rFonts w:ascii="Times New Roman" w:eastAsia="Times New Roman" w:hAnsi="Times New Roman" w:cs="Times New Roman"/>
        </w:rPr>
        <w:t xml:space="preserve"> </w:t>
      </w:r>
      <w:r w:rsidRPr="00FE1FBD">
        <w:rPr>
          <w:rFonts w:ascii="Times New Roman" w:eastAsia="Times New Roman" w:hAnsi="Times New Roman" w:cs="Times New Roman"/>
        </w:rPr>
        <w:t>A further challenge is opacity. Many deep learning models remain difficult to interpret in physically meaningful terms, making it harder for operators to understand why a recommendation was produced, whether relevant constraints were respected, and how responsibility should be assigned after abnormal events. This lack of interpretability complicates both operational trust and safety certification [106-107].</w:t>
      </w:r>
    </w:p>
    <w:p w:rsidR="00F03768" w:rsidRPr="00FE1FBD" w:rsidRDefault="002066AC"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Distributed intelligence may also create emergent risk. When multiple agents adapt simultaneously through shared communication and coupled objectives, their collective behavior may become oscillatory, unstable, or strategically unsafe, even if each individual controller appears locally effective. Such risks are difficult to capture using conventional reliability analysis because they arise from interaction dynamics rather than isolated component failure [108].</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3.4 Data Governance and Ethical Implications</w:t>
      </w:r>
    </w:p>
    <w:p w:rsidR="00A17F32" w:rsidRPr="00FE1FBD" w:rsidRDefault="00A17F32"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AI deployment in power systems also raises governance and ethical concerns. Effective learning requires large, high-quality datasets, yet many power-system data sources are sensitive, proprietary, or security-critical. Inadequate data handling may expose operational vulnerabilities or violate privacy requirements. At the same time, biased or incomplete datasets may lead to uneven demand-response decisions, unfair resource allocation, or other socially undesirable outcomes, linking Safe AI with broader concerns of fairness, and data governance [109-110].</w:t>
      </w:r>
    </w:p>
    <w:p w:rsidR="00F03768" w:rsidRPr="00FE1FBD" w:rsidRDefault="00A17F32"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From a regulatory perspective, utilities face a growing tension between rapid digitalization and the obligation to maintain transparency, traceability, and compliance with safety standards. Without clear requirements for validation, documentation, and auditability, AI deployment may outpace the institutional mechanisms needed to manage it responsibly [111].</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3.5 Interdependence of Opportunity and Risk</w:t>
      </w:r>
    </w:p>
    <w:p w:rsidR="00A17F32" w:rsidRPr="00FE1FBD" w:rsidRDefault="00A17F32"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The complexity of AI in Power CPS lies in the fact that its benefits and risks arise from the same core properties. Adaptability improves performance under changing conditions but complicates verification. Decentralization enhances flexibility and resilience but increases coordination and security challenges. Autonomy accelerates response but may reduce human oversight. These tensions define the central problem of Safe AI: how to preserve the advantages of intelligent decision-making without compromising th</w:t>
      </w:r>
      <w:r w:rsidR="000E718A">
        <w:rPr>
          <w:rFonts w:ascii="Times New Roman" w:eastAsia="Times New Roman" w:hAnsi="Times New Roman" w:cs="Times New Roman"/>
        </w:rPr>
        <w:t>e safety principles of critical</w:t>
      </w:r>
      <w:r w:rsidRPr="00FE1FBD">
        <w:rPr>
          <w:rFonts w:ascii="Times New Roman" w:eastAsia="Times New Roman" w:hAnsi="Times New Roman" w:cs="Times New Roman"/>
        </w:rPr>
        <w:t xml:space="preserve"> infrastructure [112-113].</w:t>
      </w:r>
    </w:p>
    <w:p w:rsidR="00F03768" w:rsidRPr="00FE1FBD" w:rsidRDefault="00A17F32"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Addressing this challenge requires learning and safety to be designed together rather than treated as separate objectives. In practice, this means embedding safety constraints, verification mechanisms, and human supervision into AI-enabled architectures from the outset. The following sections therefore move from opportunity–risk analysis to technical realization, examining how robust learning, formal verification, and human-in-the-loop mechanisms can support safer deployment of AI in Power CPS [114].</w:t>
      </w:r>
    </w:p>
    <w:p w:rsidR="00F03768" w:rsidRPr="00FE1FBD" w:rsidRDefault="00F03768" w:rsidP="00FE1FBD">
      <w:pPr>
        <w:spacing w:before="120" w:after="120" w:line="240" w:lineRule="auto"/>
        <w:outlineLvl w:val="0"/>
        <w:rPr>
          <w:rFonts w:ascii="Times New Roman" w:eastAsia="Times New Roman" w:hAnsi="Times New Roman" w:cs="Times New Roman"/>
          <w:b/>
          <w:bCs/>
          <w:kern w:val="36"/>
        </w:rPr>
      </w:pPr>
      <w:r w:rsidRPr="00FE1FBD">
        <w:rPr>
          <w:rFonts w:ascii="Times New Roman" w:eastAsia="Times New Roman" w:hAnsi="Times New Roman" w:cs="Times New Roman"/>
          <w:b/>
          <w:bCs/>
          <w:kern w:val="36"/>
        </w:rPr>
        <w:t xml:space="preserve">4. Safe AI Technologies for Power </w:t>
      </w:r>
      <w:r w:rsidR="00365F0A" w:rsidRPr="00FE1FBD">
        <w:rPr>
          <w:rFonts w:ascii="Times New Roman" w:eastAsia="Times New Roman" w:hAnsi="Times New Roman" w:cs="Times New Roman"/>
          <w:b/>
          <w:bCs/>
          <w:kern w:val="36"/>
        </w:rPr>
        <w:t>CPS</w:t>
      </w:r>
    </w:p>
    <w:p w:rsidR="00F03768" w:rsidRPr="00FE1FBD" w:rsidRDefault="00ED1719"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lastRenderedPageBreak/>
        <w:t>Ensuring safety in AI-enabled Power CPS requires more than post hoc protection or anomaly response. It calls for safety-aware design across model development, deployment, and operation. In this context, Safe AI can be implemented through several complementary technological paradigms, including robust learning, formal verification and runtime assurance, human-in-the-loop calibration, and federated or privacy-preserving collaboration. These approaches address different but interrelated dimensions of assurance and together form a multi-layer defense against uncertainty, malfunction, and attack [115-116], as summarized in Table 2</w:t>
      </w:r>
      <w:r w:rsidR="005B3BAB" w:rsidRPr="00FE1FBD">
        <w:rPr>
          <w:rFonts w:ascii="Times New Roman" w:eastAsia="Times New Roman" w:hAnsi="Times New Roman" w:cs="Times New Roman"/>
        </w:rPr>
        <w:t>.</w:t>
      </w:r>
    </w:p>
    <w:p w:rsidR="003B5A95" w:rsidRPr="00FE1FBD" w:rsidRDefault="003B5A95" w:rsidP="00FE1FBD">
      <w:pPr>
        <w:spacing w:before="120" w:after="120" w:line="240" w:lineRule="auto"/>
        <w:rPr>
          <w:rFonts w:ascii="Times New Roman" w:eastAsia="Times New Roman" w:hAnsi="Times New Roman" w:cs="Times New Roman"/>
          <w:b/>
        </w:rPr>
      </w:pPr>
      <w:r w:rsidRPr="00FE1FBD">
        <w:rPr>
          <w:rFonts w:ascii="Times New Roman" w:eastAsia="Times New Roman" w:hAnsi="Times New Roman" w:cs="Times New Roman"/>
          <w:b/>
        </w:rPr>
        <w:t>Table 2. Comparison of Safe AI Techniques f</w:t>
      </w:r>
      <w:r w:rsidR="00BC3AF0" w:rsidRPr="00FE1FBD">
        <w:rPr>
          <w:rFonts w:ascii="Times New Roman" w:eastAsia="Times New Roman" w:hAnsi="Times New Roman" w:cs="Times New Roman"/>
          <w:b/>
        </w:rPr>
        <w:t>or Power Cyber-Physical Systems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13"/>
        <w:gridCol w:w="1701"/>
        <w:gridCol w:w="1985"/>
        <w:gridCol w:w="1900"/>
        <w:gridCol w:w="1631"/>
      </w:tblGrid>
      <w:tr w:rsidR="003B5A95" w:rsidRPr="00FE1FBD" w:rsidTr="000E718A">
        <w:trPr>
          <w:tblHeader/>
        </w:trPr>
        <w:tc>
          <w:tcPr>
            <w:tcW w:w="1413" w:type="dxa"/>
            <w:vAlign w:val="center"/>
            <w:hideMark/>
          </w:tcPr>
          <w:p w:rsidR="003B5A95" w:rsidRPr="00FE1FBD" w:rsidRDefault="003B5A95" w:rsidP="00B36097">
            <w:pPr>
              <w:spacing w:after="0" w:line="240" w:lineRule="auto"/>
              <w:jc w:val="center"/>
              <w:rPr>
                <w:rFonts w:ascii="Times New Roman" w:eastAsia="Times New Roman" w:hAnsi="Times New Roman" w:cs="Times New Roman"/>
                <w:b/>
                <w:bCs/>
              </w:rPr>
            </w:pPr>
            <w:r w:rsidRPr="00FE1FBD">
              <w:rPr>
                <w:rFonts w:ascii="Times New Roman" w:eastAsia="Times New Roman" w:hAnsi="Times New Roman" w:cs="Times New Roman"/>
                <w:b/>
                <w:bCs/>
              </w:rPr>
              <w:t>Technique Category</w:t>
            </w:r>
          </w:p>
        </w:tc>
        <w:tc>
          <w:tcPr>
            <w:tcW w:w="1701" w:type="dxa"/>
            <w:vAlign w:val="center"/>
            <w:hideMark/>
          </w:tcPr>
          <w:p w:rsidR="003B5A95" w:rsidRPr="00FE1FBD" w:rsidRDefault="003B5A95" w:rsidP="00B36097">
            <w:pPr>
              <w:spacing w:after="0" w:line="240" w:lineRule="auto"/>
              <w:jc w:val="center"/>
              <w:rPr>
                <w:rFonts w:ascii="Times New Roman" w:eastAsia="Times New Roman" w:hAnsi="Times New Roman" w:cs="Times New Roman"/>
                <w:b/>
                <w:bCs/>
              </w:rPr>
            </w:pPr>
            <w:r w:rsidRPr="00FE1FBD">
              <w:rPr>
                <w:rFonts w:ascii="Times New Roman" w:eastAsia="Times New Roman" w:hAnsi="Times New Roman" w:cs="Times New Roman"/>
                <w:b/>
                <w:bCs/>
              </w:rPr>
              <w:t>Core Principle</w:t>
            </w:r>
          </w:p>
        </w:tc>
        <w:tc>
          <w:tcPr>
            <w:tcW w:w="1985" w:type="dxa"/>
            <w:vAlign w:val="center"/>
            <w:hideMark/>
          </w:tcPr>
          <w:p w:rsidR="003B5A95" w:rsidRPr="00FE1FBD" w:rsidRDefault="003B5A95" w:rsidP="00B36097">
            <w:pPr>
              <w:spacing w:after="0" w:line="240" w:lineRule="auto"/>
              <w:jc w:val="center"/>
              <w:rPr>
                <w:rFonts w:ascii="Times New Roman" w:eastAsia="Times New Roman" w:hAnsi="Times New Roman" w:cs="Times New Roman"/>
                <w:b/>
                <w:bCs/>
              </w:rPr>
            </w:pPr>
            <w:r w:rsidRPr="00FE1FBD">
              <w:rPr>
                <w:rFonts w:ascii="Times New Roman" w:eastAsia="Times New Roman" w:hAnsi="Times New Roman" w:cs="Times New Roman"/>
                <w:b/>
                <w:bCs/>
              </w:rPr>
              <w:t>Strengths</w:t>
            </w:r>
          </w:p>
        </w:tc>
        <w:tc>
          <w:tcPr>
            <w:tcW w:w="1900" w:type="dxa"/>
            <w:vAlign w:val="center"/>
            <w:hideMark/>
          </w:tcPr>
          <w:p w:rsidR="003B5A95" w:rsidRPr="00FE1FBD" w:rsidRDefault="003B5A95" w:rsidP="00B36097">
            <w:pPr>
              <w:spacing w:after="0" w:line="240" w:lineRule="auto"/>
              <w:jc w:val="center"/>
              <w:rPr>
                <w:rFonts w:ascii="Times New Roman" w:eastAsia="Times New Roman" w:hAnsi="Times New Roman" w:cs="Times New Roman"/>
                <w:b/>
                <w:bCs/>
              </w:rPr>
            </w:pPr>
            <w:r w:rsidRPr="00FE1FBD">
              <w:rPr>
                <w:rFonts w:ascii="Times New Roman" w:eastAsia="Times New Roman" w:hAnsi="Times New Roman" w:cs="Times New Roman"/>
                <w:b/>
                <w:bCs/>
              </w:rPr>
              <w:t>Limitations</w:t>
            </w:r>
          </w:p>
        </w:tc>
        <w:tc>
          <w:tcPr>
            <w:tcW w:w="1631" w:type="dxa"/>
            <w:vAlign w:val="center"/>
            <w:hideMark/>
          </w:tcPr>
          <w:p w:rsidR="003B5A95" w:rsidRPr="00FE1FBD" w:rsidRDefault="003B5A95" w:rsidP="00B36097">
            <w:pPr>
              <w:spacing w:after="0" w:line="240" w:lineRule="auto"/>
              <w:jc w:val="center"/>
              <w:rPr>
                <w:rFonts w:ascii="Times New Roman" w:eastAsia="Times New Roman" w:hAnsi="Times New Roman" w:cs="Times New Roman"/>
                <w:b/>
                <w:bCs/>
              </w:rPr>
            </w:pPr>
            <w:r w:rsidRPr="00FE1FBD">
              <w:rPr>
                <w:rFonts w:ascii="Times New Roman" w:eastAsia="Times New Roman" w:hAnsi="Times New Roman" w:cs="Times New Roman"/>
                <w:b/>
                <w:bCs/>
              </w:rPr>
              <w:t>Application Scenarios</w:t>
            </w:r>
          </w:p>
        </w:tc>
      </w:tr>
      <w:tr w:rsidR="003B5A95" w:rsidRPr="00FE1FBD" w:rsidTr="000E718A">
        <w:tc>
          <w:tcPr>
            <w:tcW w:w="1413"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bCs/>
              </w:rPr>
              <w:t>Robust Learning</w:t>
            </w:r>
          </w:p>
        </w:tc>
        <w:tc>
          <w:tcPr>
            <w:tcW w:w="1701"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Improves stability under perturbations.</w:t>
            </w:r>
          </w:p>
        </w:tc>
        <w:tc>
          <w:tcPr>
            <w:tcW w:w="1985"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Strong resistance to noise; stable prediction.</w:t>
            </w:r>
          </w:p>
        </w:tc>
        <w:tc>
          <w:tcPr>
            <w:tcW w:w="1900"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May sacrifice accuracy; high training cost.</w:t>
            </w:r>
          </w:p>
        </w:tc>
        <w:tc>
          <w:tcPr>
            <w:tcW w:w="1631"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Fault diagnosis; stability assessment.</w:t>
            </w:r>
          </w:p>
        </w:tc>
      </w:tr>
      <w:tr w:rsidR="003B5A95" w:rsidRPr="00FE1FBD" w:rsidTr="000E718A">
        <w:tc>
          <w:tcPr>
            <w:tcW w:w="1413"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bCs/>
              </w:rPr>
              <w:t>Adversarial Defense</w:t>
            </w:r>
          </w:p>
        </w:tc>
        <w:tc>
          <w:tcPr>
            <w:tcW w:w="1701"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Protects models from crafted perturbations.</w:t>
            </w:r>
          </w:p>
        </w:tc>
        <w:tc>
          <w:tcPr>
            <w:tcW w:w="1985"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Mitigates ML attacks; improves resilience.</w:t>
            </w:r>
          </w:p>
        </w:tc>
        <w:tc>
          <w:tcPr>
            <w:tcW w:w="1900"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Often attack-specific; scalability issues.</w:t>
            </w:r>
          </w:p>
        </w:tc>
        <w:tc>
          <w:tcPr>
            <w:tcW w:w="1631"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FDIA detection; voltage stability estimation.</w:t>
            </w:r>
          </w:p>
        </w:tc>
      </w:tr>
      <w:tr w:rsidR="003B5A95" w:rsidRPr="00FE1FBD" w:rsidTr="000E718A">
        <w:trPr>
          <w:trHeight w:val="889"/>
        </w:trPr>
        <w:tc>
          <w:tcPr>
            <w:tcW w:w="1413"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bCs/>
              </w:rPr>
              <w:t>Uncertainty-Aware Learning</w:t>
            </w:r>
          </w:p>
        </w:tc>
        <w:tc>
          <w:tcPr>
            <w:tcW w:w="1701"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Quantifies epistemic &amp; aleatoric uncertainty.</w:t>
            </w:r>
          </w:p>
        </w:tc>
        <w:tc>
          <w:tcPr>
            <w:tcW w:w="1985"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Reliable decision-making; better risk control.</w:t>
            </w:r>
          </w:p>
        </w:tc>
        <w:tc>
          <w:tcPr>
            <w:tcW w:w="1900"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Requires complex modeling; may increase delay.</w:t>
            </w:r>
          </w:p>
        </w:tc>
        <w:tc>
          <w:tcPr>
            <w:tcW w:w="1631"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Safety-critical dispatch; risk-aware control.</w:t>
            </w:r>
          </w:p>
        </w:tc>
      </w:tr>
      <w:tr w:rsidR="003B5A95" w:rsidRPr="00FE1FBD" w:rsidTr="000E718A">
        <w:tc>
          <w:tcPr>
            <w:tcW w:w="1413"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bCs/>
              </w:rPr>
              <w:t>Formal Verification</w:t>
            </w:r>
          </w:p>
        </w:tc>
        <w:tc>
          <w:tcPr>
            <w:tcW w:w="1701"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Proves AI behavior within safety constraints.</w:t>
            </w:r>
          </w:p>
        </w:tc>
        <w:tc>
          <w:tcPr>
            <w:tcW w:w="1985"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Guarantees safety; interpretable results.</w:t>
            </w:r>
          </w:p>
        </w:tc>
        <w:tc>
          <w:tcPr>
            <w:tcW w:w="1900"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Hard for large deep models; slow.</w:t>
            </w:r>
          </w:p>
        </w:tc>
        <w:tc>
          <w:tcPr>
            <w:tcW w:w="1631"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Protection relay settings; certified control.</w:t>
            </w:r>
          </w:p>
        </w:tc>
      </w:tr>
      <w:tr w:rsidR="003B5A95" w:rsidRPr="00FE1FBD" w:rsidTr="000E718A">
        <w:tc>
          <w:tcPr>
            <w:tcW w:w="1413"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bCs/>
              </w:rPr>
              <w:t>Human-in-the-Loop</w:t>
            </w:r>
          </w:p>
        </w:tc>
        <w:tc>
          <w:tcPr>
            <w:tcW w:w="1701"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Combines operator expertise with AI guidance.</w:t>
            </w:r>
          </w:p>
        </w:tc>
        <w:tc>
          <w:tcPr>
            <w:tcW w:w="1985"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High trustworthiness; reduces surprises.</w:t>
            </w:r>
          </w:p>
        </w:tc>
        <w:tc>
          <w:tcPr>
            <w:tcW w:w="1900"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Human workload; limited automation.</w:t>
            </w:r>
          </w:p>
        </w:tc>
        <w:tc>
          <w:tcPr>
            <w:tcW w:w="1631"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Control center decision support.</w:t>
            </w:r>
          </w:p>
        </w:tc>
      </w:tr>
      <w:tr w:rsidR="003B5A95" w:rsidRPr="00FE1FBD" w:rsidTr="000E718A">
        <w:tc>
          <w:tcPr>
            <w:tcW w:w="1413"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bCs/>
              </w:rPr>
              <w:t>Federated &amp; Privacy-Preserving Assurance</w:t>
            </w:r>
          </w:p>
        </w:tc>
        <w:tc>
          <w:tcPr>
            <w:tcW w:w="1701"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Distributed learning without data sharing.</w:t>
            </w:r>
          </w:p>
        </w:tc>
        <w:tc>
          <w:tcPr>
            <w:tcW w:w="1985"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Strong privacy; collaborative robustness.</w:t>
            </w:r>
          </w:p>
        </w:tc>
        <w:tc>
          <w:tcPr>
            <w:tcW w:w="1900"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Communication burden; heterogeneity issue.</w:t>
            </w:r>
          </w:p>
        </w:tc>
        <w:tc>
          <w:tcPr>
            <w:tcW w:w="1631"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Distributed microgrids; multi-utility cooperation.</w:t>
            </w:r>
          </w:p>
        </w:tc>
      </w:tr>
      <w:tr w:rsidR="003B5A95" w:rsidRPr="00FE1FBD" w:rsidTr="000E718A">
        <w:tc>
          <w:tcPr>
            <w:tcW w:w="1413"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bCs/>
              </w:rPr>
              <w:t>Digital-Twin-Based Runtime Assurance</w:t>
            </w:r>
          </w:p>
        </w:tc>
        <w:tc>
          <w:tcPr>
            <w:tcW w:w="1701"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Shadow execution for validation.</w:t>
            </w:r>
          </w:p>
        </w:tc>
        <w:tc>
          <w:tcPr>
            <w:tcW w:w="1985"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Real-time checking; safe fallback actions.</w:t>
            </w:r>
          </w:p>
        </w:tc>
        <w:tc>
          <w:tcPr>
            <w:tcW w:w="1900"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Needs high-fidelity models; computational cost.</w:t>
            </w:r>
          </w:p>
        </w:tc>
        <w:tc>
          <w:tcPr>
            <w:tcW w:w="1631" w:type="dxa"/>
            <w:vAlign w:val="center"/>
            <w:hideMark/>
          </w:tcPr>
          <w:p w:rsidR="003B5A95" w:rsidRPr="00FE1FBD" w:rsidRDefault="003B5A95" w:rsidP="00B36097">
            <w:p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Autonomy verification; emergency control.</w:t>
            </w:r>
          </w:p>
        </w:tc>
      </w:tr>
    </w:tbl>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 xml:space="preserve">4.1 </w:t>
      </w:r>
      <w:r w:rsidR="00D8262C" w:rsidRPr="00FE1FBD">
        <w:rPr>
          <w:rFonts w:ascii="Times New Roman" w:eastAsia="Times New Roman" w:hAnsi="Times New Roman" w:cs="Times New Roman"/>
          <w:b/>
          <w:bCs/>
        </w:rPr>
        <w:t>Robust Learning and Uncertainty-Aware Models</w:t>
      </w:r>
    </w:p>
    <w:p w:rsidR="00F255F7" w:rsidRPr="00FE1FBD" w:rsidRDefault="00F255F7"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A first pillar of Safe AI is robust learning, which aims to keep model behavior stable under noise, perturbations, distribution shifts, and imperfect observations. In Power CPS, this is especially important because even modest prediction or classification errors may propagate into dispatch, protection, or control decisions [117].</w:t>
      </w:r>
    </w:p>
    <w:p w:rsidR="00F255F7" w:rsidRPr="00FE1FBD" w:rsidRDefault="00F255F7"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Several approaches have been explored to improve robustness. Adversarial training exposes models to intentionally perturbed samples so that they learn to resist manipulated inputs. In applications such as load forecasting, fault diagnosis, and intrusion detection, this can reduce performance degradation under false-data injection or adversarial disturbances. Distributionally robust optimization (DRO) provides another route by minimizing worst-case loss over an ambiguity set of plausible data distributions, which is attractive in safety-critical dispatch and scheduling problems where prediction errors may have outsized operational consequences [118].</w:t>
      </w:r>
    </w:p>
    <w:p w:rsidR="00F255F7" w:rsidRPr="00FE1FBD" w:rsidRDefault="00F255F7"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lastRenderedPageBreak/>
        <w:t>For dynamic decision-making, uncertainty-aware learning is equally important. Bayesian neural networks, deep ensembles, and related approaches estimate point predictions and predictive uncertainty. This information can be used to trigger conservative actions, defer to conventional control, or restrict unsafe exploration in reinforcement-learning settings. In this sense, uncertainty-aware learning helps transform AI from a purely performance-oriented optimizer into a risk-aware decision component [119].</w:t>
      </w:r>
    </w:p>
    <w:p w:rsidR="00F03768" w:rsidRPr="00FE1FBD" w:rsidRDefault="00F255F7"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However, robustness and uncertainty estimation alone do not guarantee safety. A model may be statistically resilient yet still violate operational constraints. This motivates the need for formal verification and runtime assurance.</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4.2 Formal Verification and Runtime Assurance</w:t>
      </w:r>
    </w:p>
    <w:p w:rsidR="00852C40" w:rsidRPr="00FE1FBD" w:rsidRDefault="00852C40"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Formal verification introduces mathematical guarantees into Safe AI by asking whether a model can be proven to satisfy specified safety constraints. In Power CPS, such constraints may include voltage and frequency bounds, thermal limits, protection coordination rules, or admissible control actions. The objective is not merely to test good performance empirically, but to establish whether unsafe behaviors are excluded within a defined operating region [120-121].</w:t>
      </w:r>
    </w:p>
    <w:p w:rsidR="00852C40" w:rsidRPr="00FE1FBD" w:rsidRDefault="00852C40"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Methods such as reachability analysis, invariant set approximation, and barrier certificates connect classical control safety with learning-enabled systems. In parallel, neural network verification tools based on symbolic reasoning, interval bounds, or convex relaxation can certify output bounds for certain classes of models. Although originally developed in other safety-critical domains, these techniques are increasingly being adapted to power applications, including inverter control and neural-assisted operational decision-making [122-124].</w:t>
      </w:r>
    </w:p>
    <w:p w:rsidR="00F03768" w:rsidRPr="00FE1FBD" w:rsidRDefault="00852C40"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Because full formal verification is difficult for large, nonlinear, and high-dimensional systems, runtime assurance has emerged as a practical complement. In this paradigm, lightweight safety monitors check AI outputs online against simplified invariants or operational envelopes. If a potential violation is detected, the system activates a verified fallback controller or supervisory override. This monitor–shield structure offers a compromise between autonomy and protection, allowing AI to operate under normal conditions while preserving a safe recovery path under anomalies [125].</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4.3 Human-in-the-Loop Safety Calibration</w:t>
      </w:r>
    </w:p>
    <w:p w:rsidR="00573ED3" w:rsidRPr="00FE1FBD" w:rsidRDefault="00573ED3"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Even with increasing automation, human expertise remains indispensable in critical power infrastructures. Safe AI should therefore include human-in-the-loop (HITL) mechanisms that preserve situational awareness, enable override authority, and support calibrated trust between operators and algorithms [126].</w:t>
      </w:r>
    </w:p>
    <w:p w:rsidR="00573ED3" w:rsidRPr="00FE1FBD" w:rsidRDefault="00573ED3"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A central issue is trust calibration. If operators rely too heavily on AI, automation bias may lead them to accept unsafe recommendations without sufficient scrutiny. If they rely too little on it, the benefits of intelligent support are lost. To reduce both risks, AI systems should provide interpretable and operationally meaningful explanations, for example through feature attribution, rule extraction, counterfactual analysis, or topology-aware visualization. Explanations expressed in grid-relevant terms can make it easier for operators to assess whether an AI recommendation is physically plausible and operationally acceptable [127].</w:t>
      </w:r>
    </w:p>
    <w:p w:rsidR="00573ED3" w:rsidRPr="00FE1FBD" w:rsidRDefault="00573ED3"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Human feedback can also improve safety over time. Interactive learning and operator-in-the-loop correction allow edge cases, unsafe recommendations, or misclassifications to be identified and incorporated into continual improvement pipelines. In this way, expert knowledge—such as contingency prioritization, protection heuristics, and operational caution—can become part of the safety assurance loop [128-129].</w:t>
      </w:r>
    </w:p>
    <w:p w:rsidR="00F03768" w:rsidRPr="00FE1FBD" w:rsidRDefault="00573ED3"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lastRenderedPageBreak/>
        <w:t>At the same time, HITL design must avoid excessive cognitive burden. A practical Safe AI architecture should therefore allocate routine and low-risk tasks to automation while reserving high-impact, ambiguous, or emergency decisions for human supervision. Properly designed hybrid intelligence can improve efficiency and accountability [130].</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4.4 Federated and Privacy-Preserving Safety Assurance</w:t>
      </w:r>
    </w:p>
    <w:p w:rsidR="00414CD6" w:rsidRPr="00FE1FBD" w:rsidRDefault="00414CD6"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As Power CPS become more distributed, Safe AI must support collaboration without requiring unrestricted data sharing. Centralized learning is often impractical because operational data are sensitive, proprietary, or security-critical. Federated learning (FL) offers an alternative by training models locally and exchanging parameters rather than raw data, thereby preserving confidentiality while enabling collective intelligence [131].</w:t>
      </w:r>
    </w:p>
    <w:p w:rsidR="00414CD6" w:rsidRPr="00FE1FBD" w:rsidRDefault="00414CD6"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From a safety perspective, FL provides both benefits and new risks. It reduces the exposure associated with centralized data aggregation, but it also inherits challenges such as data heterogeneity, unreliable participants, and poisoning of model updates. To mitigate these risks, recent work has explored secure aggregation, anomaly detection on parameter updates, robust averaging, and trust-weighted model fusion.</w:t>
      </w:r>
    </w:p>
    <w:p w:rsidR="00F03768" w:rsidRPr="00FE1FBD" w:rsidRDefault="00414CD6"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Beyond privacy, federated safety assurance seeks consistency of safety constraints across participants. Shared risk thresholds, trusted coordination rules, and node-level reliability assessment can help ensure that collaborative learning improves not only accuracy but also safe behavior across distributed entities such as interconnected microgrids and virtual power plants [132-133]. Complementary techniques, including differential privacy and homomorphic encryption, further strengthen confidentiality and regulatory compliance, although they may increase communication and computational burden.</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4.5 Toward Integrated Safety Architectures</w:t>
      </w:r>
    </w:p>
    <w:p w:rsidR="00F93BBE" w:rsidRPr="00FE1FBD" w:rsidRDefault="00F93BBE"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The technologies above should not be treated as isolated safeguards. Their real value lies in integration. A robust model becomes more trustworthy when paired with uncertainty quantification, runtime monitoring, and interpretable outputs. A distributed control strategy becomes safer when federated coordination is combined with anomaly screening, fallback logic, and human supervision. The future of Safe AI in Power CPS therefore lies in integrated safety architectures in which robustness, verification, runtime assurance, transparency, and privacy protection reinforce one another [134-135].</w:t>
      </w:r>
    </w:p>
    <w:p w:rsidR="00F93BBE" w:rsidRPr="00FE1FBD" w:rsidRDefault="00F93BBE"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Two directions are especially promising. One is the development of supervisory safety co-pilots that monitor AI confidence, detect anomalies, and trigger fallback mechanisms when unsafe behavior is suspected. The other is digital-twin-assisted validation, where AI policies are stress-tested under simulated contingencies and extreme scenarios before or during deployment. Both directions support the transition from isolated safety techniques to self-assuring operational ecosystems.</w:t>
      </w:r>
    </w:p>
    <w:p w:rsidR="00F03768" w:rsidRPr="00FE1FBD" w:rsidRDefault="00F93BBE"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Ultimately, Safe AI technologies should be understood as the building blocks of dependable intelligent power systems. As grids become more digitalized, decentralized, and renewable-intensive, only those AI systems that internalize safety as a design principle—rather than as an external correction—will be suitable for long-term deployment in critical energy infrastructures [136].</w:t>
      </w:r>
    </w:p>
    <w:p w:rsidR="00F03768" w:rsidRPr="00FE1FBD" w:rsidRDefault="00F03768" w:rsidP="00FE1FBD">
      <w:pPr>
        <w:spacing w:before="120" w:after="120" w:line="240" w:lineRule="auto"/>
        <w:outlineLvl w:val="0"/>
        <w:rPr>
          <w:rFonts w:ascii="Times New Roman" w:eastAsia="Times New Roman" w:hAnsi="Times New Roman" w:cs="Times New Roman"/>
          <w:b/>
          <w:bCs/>
          <w:kern w:val="36"/>
        </w:rPr>
      </w:pPr>
      <w:r w:rsidRPr="00FE1FBD">
        <w:rPr>
          <w:rFonts w:ascii="Times New Roman" w:eastAsia="Times New Roman" w:hAnsi="Times New Roman" w:cs="Times New Roman"/>
          <w:b/>
          <w:bCs/>
          <w:kern w:val="36"/>
        </w:rPr>
        <w:t xml:space="preserve">5. </w:t>
      </w:r>
      <w:r w:rsidR="009A24CF" w:rsidRPr="009A24CF">
        <w:rPr>
          <w:rFonts w:ascii="Times New Roman" w:eastAsia="Times New Roman" w:hAnsi="Times New Roman" w:cs="Times New Roman"/>
          <w:b/>
          <w:bCs/>
          <w:kern w:val="36"/>
        </w:rPr>
        <w:t>Evaluation Perspectives for Safe AI in Power CPS</w:t>
      </w:r>
    </w:p>
    <w:p w:rsidR="00F03768" w:rsidRPr="00FE1FBD" w:rsidRDefault="004B1739"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If the philosophy of Safe AI defines what should be achieved, evaluation metrics determine how such safety claims can be assessed. In Power CPS, safety cannot be judged solely by predictive accuracy, detection rate, or operational efficiency, because AI errors may propagate into physical consequences such as instability, constraint violation, or delayed recovery. Accordingly, safety </w:t>
      </w:r>
      <w:r w:rsidRPr="00FE1FBD">
        <w:rPr>
          <w:rFonts w:ascii="Times New Roman" w:eastAsia="Times New Roman" w:hAnsi="Times New Roman" w:cs="Times New Roman"/>
        </w:rPr>
        <w:lastRenderedPageBreak/>
        <w:t>evaluation should connect algorithmic reliability with system-level consequence assessment, thereby linking AI performance to operational risk in the grid [137]. The representative metrics discussed in this review are summarized in Table 3</w:t>
      </w:r>
      <w:r w:rsidR="005D0850" w:rsidRPr="00FE1FBD">
        <w:rPr>
          <w:rFonts w:ascii="Times New Roman" w:eastAsia="Times New Roman" w:hAnsi="Times New Roman" w:cs="Times New Roman"/>
        </w:rPr>
        <w:t>.</w:t>
      </w:r>
    </w:p>
    <w:p w:rsidR="005D0850" w:rsidRPr="00FE1FBD" w:rsidRDefault="005D0850" w:rsidP="00FE1FBD">
      <w:pPr>
        <w:spacing w:before="120" w:after="120" w:line="240" w:lineRule="auto"/>
        <w:rPr>
          <w:rFonts w:ascii="Times New Roman" w:eastAsia="Times New Roman" w:hAnsi="Times New Roman" w:cs="Times New Roman"/>
          <w:b/>
        </w:rPr>
      </w:pPr>
      <w:r w:rsidRPr="00FE1FBD">
        <w:rPr>
          <w:rFonts w:ascii="Times New Roman" w:eastAsia="Times New Roman" w:hAnsi="Times New Roman" w:cs="Times New Roman"/>
          <w:b/>
        </w:rPr>
        <w:t xml:space="preserve">Table </w:t>
      </w:r>
      <w:r w:rsidR="00F90F92" w:rsidRPr="00FE1FBD">
        <w:rPr>
          <w:rFonts w:ascii="Times New Roman" w:eastAsia="Times New Roman" w:hAnsi="Times New Roman" w:cs="Times New Roman"/>
          <w:b/>
        </w:rPr>
        <w:t>3</w:t>
      </w:r>
      <w:r w:rsidRPr="00FE1FBD">
        <w:rPr>
          <w:rFonts w:ascii="Times New Roman" w:eastAsia="Times New Roman" w:hAnsi="Times New Roman" w:cs="Times New Roman"/>
          <w:b/>
        </w:rPr>
        <w:t>. Representative metrics for evaluating AI safety and system resilience in Power CPS.</w:t>
      </w:r>
    </w:p>
    <w:tbl>
      <w:tblPr>
        <w:tblStyle w:val="a9"/>
        <w:tblW w:w="0" w:type="auto"/>
        <w:tblLook w:val="04A0" w:firstRow="1" w:lastRow="0" w:firstColumn="1" w:lastColumn="0" w:noHBand="0" w:noVBand="1"/>
      </w:tblPr>
      <w:tblGrid>
        <w:gridCol w:w="2547"/>
        <w:gridCol w:w="2931"/>
        <w:gridCol w:w="2739"/>
      </w:tblGrid>
      <w:tr w:rsidR="005D0850" w:rsidRPr="00FE1FBD" w:rsidTr="00B36097">
        <w:tc>
          <w:tcPr>
            <w:tcW w:w="2547" w:type="dxa"/>
          </w:tcPr>
          <w:p w:rsidR="005D0850" w:rsidRPr="00FE1FBD" w:rsidRDefault="00851858" w:rsidP="00B36097">
            <w:pPr>
              <w:rPr>
                <w:rFonts w:ascii="Times New Roman" w:eastAsia="Times New Roman" w:hAnsi="Times New Roman" w:cs="Times New Roman"/>
                <w:b/>
              </w:rPr>
            </w:pPr>
            <w:r w:rsidRPr="00FE1FBD">
              <w:rPr>
                <w:rFonts w:ascii="Times New Roman" w:hAnsi="Times New Roman" w:cs="Times New Roman"/>
                <w:b/>
              </w:rPr>
              <w:t>Metric</w:t>
            </w:r>
          </w:p>
        </w:tc>
        <w:tc>
          <w:tcPr>
            <w:tcW w:w="2931" w:type="dxa"/>
          </w:tcPr>
          <w:p w:rsidR="005D0850" w:rsidRPr="00FE1FBD" w:rsidRDefault="005D0850" w:rsidP="00B36097">
            <w:pPr>
              <w:rPr>
                <w:rFonts w:ascii="Times New Roman" w:eastAsia="Times New Roman" w:hAnsi="Times New Roman" w:cs="Times New Roman"/>
                <w:b/>
              </w:rPr>
            </w:pPr>
            <w:r w:rsidRPr="00FE1FBD">
              <w:rPr>
                <w:rFonts w:ascii="Times New Roman" w:eastAsia="Times New Roman" w:hAnsi="Times New Roman" w:cs="Times New Roman"/>
                <w:b/>
              </w:rPr>
              <w:t>Interpretation</w:t>
            </w:r>
          </w:p>
        </w:tc>
        <w:tc>
          <w:tcPr>
            <w:tcW w:w="2739" w:type="dxa"/>
          </w:tcPr>
          <w:p w:rsidR="005D0850" w:rsidRPr="00FE1FBD" w:rsidRDefault="0085751F" w:rsidP="00B36097">
            <w:pPr>
              <w:rPr>
                <w:rFonts w:ascii="Times New Roman" w:eastAsia="Times New Roman" w:hAnsi="Times New Roman" w:cs="Times New Roman"/>
                <w:b/>
              </w:rPr>
            </w:pPr>
            <w:r w:rsidRPr="00FE1FBD">
              <w:rPr>
                <w:rFonts w:ascii="Times New Roman" w:eastAsia="Times New Roman" w:hAnsi="Times New Roman" w:cs="Times New Roman"/>
                <w:b/>
              </w:rPr>
              <w:t>E</w:t>
            </w:r>
            <w:r w:rsidR="005D0850" w:rsidRPr="00FE1FBD">
              <w:rPr>
                <w:rFonts w:ascii="Times New Roman" w:eastAsia="Times New Roman" w:hAnsi="Times New Roman" w:cs="Times New Roman"/>
                <w:b/>
              </w:rPr>
              <w:t>valuation Method</w:t>
            </w:r>
          </w:p>
        </w:tc>
      </w:tr>
      <w:tr w:rsidR="005D0850" w:rsidRPr="00FE1FBD" w:rsidTr="00B36097">
        <w:tc>
          <w:tcPr>
            <w:tcW w:w="2547" w:type="dxa"/>
          </w:tcPr>
          <w:p w:rsidR="005D0850" w:rsidRPr="00FE1FBD" w:rsidRDefault="0085751F" w:rsidP="00B36097">
            <w:pPr>
              <w:rPr>
                <w:rFonts w:ascii="Times New Roman" w:eastAsia="Times New Roman" w:hAnsi="Times New Roman" w:cs="Times New Roman"/>
              </w:rPr>
            </w:pPr>
            <w:r w:rsidRPr="00FE1FBD">
              <w:rPr>
                <w:rFonts w:ascii="Times New Roman" w:eastAsia="Times New Roman" w:hAnsi="Times New Roman" w:cs="Times New Roman"/>
              </w:rPr>
              <w:t xml:space="preserve">Reliability Index </w:t>
            </w:r>
            <w:r w:rsidR="00665A35" w:rsidRPr="00FE1FBD">
              <w:rPr>
                <w:rFonts w:ascii="Times New Roman" w:eastAsia="Times New Roman" w:hAnsi="Times New Roman" w:cs="Times New Roman"/>
              </w:rPr>
              <w:t xml:space="preserve"> (RI)</w:t>
            </w:r>
          </w:p>
        </w:tc>
        <w:tc>
          <w:tcPr>
            <w:tcW w:w="2931" w:type="dxa"/>
          </w:tcPr>
          <w:p w:rsidR="005D0850" w:rsidRPr="00FE1FBD" w:rsidRDefault="0085751F" w:rsidP="00B36097">
            <w:pPr>
              <w:rPr>
                <w:rFonts w:ascii="Times New Roman" w:eastAsia="Times New Roman" w:hAnsi="Times New Roman" w:cs="Times New Roman"/>
              </w:rPr>
            </w:pPr>
            <w:r w:rsidRPr="00FE1FBD">
              <w:rPr>
                <w:rFonts w:ascii="Times New Roman" w:eastAsia="Times New Roman" w:hAnsi="Times New Roman" w:cs="Times New Roman"/>
              </w:rPr>
              <w:t>Model consistency under uncertainty</w:t>
            </w:r>
          </w:p>
        </w:tc>
        <w:tc>
          <w:tcPr>
            <w:tcW w:w="2739" w:type="dxa"/>
          </w:tcPr>
          <w:p w:rsidR="005D0850" w:rsidRPr="00FE1FBD" w:rsidRDefault="0085751F" w:rsidP="00B36097">
            <w:pPr>
              <w:rPr>
                <w:rFonts w:ascii="Times New Roman" w:eastAsia="Times New Roman" w:hAnsi="Times New Roman" w:cs="Times New Roman"/>
              </w:rPr>
            </w:pPr>
            <w:r w:rsidRPr="00FE1FBD">
              <w:rPr>
                <w:rFonts w:ascii="Times New Roman" w:eastAsia="Times New Roman" w:hAnsi="Times New Roman" w:cs="Times New Roman"/>
              </w:rPr>
              <w:t>Stress testing / Monte Carlo</w:t>
            </w:r>
          </w:p>
        </w:tc>
      </w:tr>
      <w:tr w:rsidR="005D0850" w:rsidRPr="00FE1FBD" w:rsidTr="00B36097">
        <w:tc>
          <w:tcPr>
            <w:tcW w:w="2547" w:type="dxa"/>
          </w:tcPr>
          <w:p w:rsidR="005D0850" w:rsidRPr="00FE1FBD" w:rsidRDefault="0085751F" w:rsidP="00B36097">
            <w:pPr>
              <w:rPr>
                <w:rFonts w:ascii="Times New Roman" w:eastAsia="Times New Roman" w:hAnsi="Times New Roman" w:cs="Times New Roman"/>
              </w:rPr>
            </w:pPr>
            <w:r w:rsidRPr="00FE1FBD">
              <w:rPr>
                <w:rFonts w:ascii="Times New Roman" w:eastAsia="Times New Roman" w:hAnsi="Times New Roman" w:cs="Times New Roman"/>
              </w:rPr>
              <w:t xml:space="preserve">Risk Exposure </w:t>
            </w:r>
            <w:r w:rsidR="00665A35" w:rsidRPr="00FE1FBD">
              <w:rPr>
                <w:rFonts w:ascii="Times New Roman" w:eastAsia="Times New Roman" w:hAnsi="Times New Roman" w:cs="Times New Roman"/>
              </w:rPr>
              <w:t>(RE)</w:t>
            </w:r>
          </w:p>
        </w:tc>
        <w:tc>
          <w:tcPr>
            <w:tcW w:w="2931" w:type="dxa"/>
          </w:tcPr>
          <w:p w:rsidR="005D0850" w:rsidRPr="00FE1FBD" w:rsidRDefault="0085751F" w:rsidP="00B36097">
            <w:pPr>
              <w:rPr>
                <w:rFonts w:ascii="Times New Roman" w:eastAsia="Times New Roman" w:hAnsi="Times New Roman" w:cs="Times New Roman"/>
              </w:rPr>
            </w:pPr>
            <w:r w:rsidRPr="00FE1FBD">
              <w:rPr>
                <w:rFonts w:ascii="Times New Roman" w:eastAsia="Times New Roman" w:hAnsi="Times New Roman" w:cs="Times New Roman"/>
              </w:rPr>
              <w:t>Expected operational risk</w:t>
            </w:r>
          </w:p>
        </w:tc>
        <w:tc>
          <w:tcPr>
            <w:tcW w:w="2739" w:type="dxa"/>
          </w:tcPr>
          <w:p w:rsidR="005D0850" w:rsidRPr="00FE1FBD" w:rsidRDefault="0085751F" w:rsidP="00B36097">
            <w:pPr>
              <w:rPr>
                <w:rFonts w:ascii="Times New Roman" w:eastAsia="Times New Roman" w:hAnsi="Times New Roman" w:cs="Times New Roman"/>
              </w:rPr>
            </w:pPr>
            <w:r w:rsidRPr="00FE1FBD">
              <w:rPr>
                <w:rFonts w:ascii="Times New Roman" w:eastAsia="Times New Roman" w:hAnsi="Times New Roman" w:cs="Times New Roman"/>
              </w:rPr>
              <w:t>Co-simulation/scenario analysis</w:t>
            </w:r>
          </w:p>
        </w:tc>
      </w:tr>
      <w:tr w:rsidR="005D0850" w:rsidRPr="00FE1FBD" w:rsidTr="00B36097">
        <w:tc>
          <w:tcPr>
            <w:tcW w:w="2547" w:type="dxa"/>
          </w:tcPr>
          <w:p w:rsidR="005D0850" w:rsidRPr="00FE1FBD" w:rsidRDefault="0085751F" w:rsidP="00B36097">
            <w:pPr>
              <w:rPr>
                <w:rFonts w:ascii="Times New Roman" w:eastAsia="Times New Roman" w:hAnsi="Times New Roman" w:cs="Times New Roman"/>
              </w:rPr>
            </w:pPr>
            <w:r w:rsidRPr="00FE1FBD">
              <w:rPr>
                <w:rFonts w:ascii="Times New Roman" w:eastAsia="Times New Roman" w:hAnsi="Times New Roman" w:cs="Times New Roman"/>
              </w:rPr>
              <w:t xml:space="preserve">Fail-Safe Tolerance </w:t>
            </w:r>
            <w:r w:rsidR="00665A35" w:rsidRPr="00FE1FBD">
              <w:rPr>
                <w:rFonts w:ascii="Times New Roman" w:eastAsia="Times New Roman" w:hAnsi="Times New Roman" w:cs="Times New Roman"/>
              </w:rPr>
              <w:t>(FST)</w:t>
            </w:r>
          </w:p>
        </w:tc>
        <w:tc>
          <w:tcPr>
            <w:tcW w:w="2931" w:type="dxa"/>
          </w:tcPr>
          <w:p w:rsidR="005D0850" w:rsidRPr="00FE1FBD" w:rsidRDefault="0085751F" w:rsidP="00B36097">
            <w:pPr>
              <w:rPr>
                <w:rFonts w:ascii="Times New Roman" w:eastAsia="Times New Roman" w:hAnsi="Times New Roman" w:cs="Times New Roman"/>
              </w:rPr>
            </w:pPr>
            <w:r w:rsidRPr="00FE1FBD">
              <w:rPr>
                <w:rFonts w:ascii="Times New Roman" w:eastAsia="Times New Roman" w:hAnsi="Times New Roman" w:cs="Times New Roman"/>
              </w:rPr>
              <w:t>Ability to revert safely</w:t>
            </w:r>
          </w:p>
        </w:tc>
        <w:tc>
          <w:tcPr>
            <w:tcW w:w="2739" w:type="dxa"/>
          </w:tcPr>
          <w:p w:rsidR="005D0850" w:rsidRPr="00FE1FBD" w:rsidRDefault="0085751F" w:rsidP="00B36097">
            <w:pPr>
              <w:rPr>
                <w:rFonts w:ascii="Times New Roman" w:eastAsia="Times New Roman" w:hAnsi="Times New Roman" w:cs="Times New Roman"/>
              </w:rPr>
            </w:pPr>
            <w:r w:rsidRPr="00FE1FBD">
              <w:rPr>
                <w:rFonts w:ascii="Times New Roman" w:eastAsia="Times New Roman" w:hAnsi="Times New Roman" w:cs="Times New Roman"/>
              </w:rPr>
              <w:t>Hardware-in-the-loop</w:t>
            </w:r>
          </w:p>
        </w:tc>
      </w:tr>
      <w:tr w:rsidR="005D0850" w:rsidRPr="00FE1FBD" w:rsidTr="00B36097">
        <w:tc>
          <w:tcPr>
            <w:tcW w:w="2547" w:type="dxa"/>
          </w:tcPr>
          <w:p w:rsidR="005D0850" w:rsidRPr="00FE1FBD" w:rsidRDefault="0085751F" w:rsidP="00B36097">
            <w:pPr>
              <w:rPr>
                <w:rFonts w:ascii="Times New Roman" w:eastAsia="Times New Roman" w:hAnsi="Times New Roman" w:cs="Times New Roman"/>
              </w:rPr>
            </w:pPr>
            <w:r w:rsidRPr="00FE1FBD">
              <w:rPr>
                <w:rFonts w:ascii="Times New Roman" w:eastAsia="Times New Roman" w:hAnsi="Times New Roman" w:cs="Times New Roman"/>
              </w:rPr>
              <w:t>Resilience Factor</w:t>
            </w:r>
            <w:r w:rsidR="00B46EE3" w:rsidRPr="00FE1FBD">
              <w:rPr>
                <w:rFonts w:ascii="Times New Roman" w:eastAsia="Times New Roman" w:hAnsi="Times New Roman" w:cs="Times New Roman"/>
              </w:rPr>
              <w:t xml:space="preserve"> (RF)</w:t>
            </w:r>
          </w:p>
        </w:tc>
        <w:tc>
          <w:tcPr>
            <w:tcW w:w="2931" w:type="dxa"/>
          </w:tcPr>
          <w:p w:rsidR="005D0850" w:rsidRPr="00FE1FBD" w:rsidRDefault="0085751F" w:rsidP="00B36097">
            <w:pPr>
              <w:rPr>
                <w:rFonts w:ascii="Times New Roman" w:eastAsia="Times New Roman" w:hAnsi="Times New Roman" w:cs="Times New Roman"/>
              </w:rPr>
            </w:pPr>
            <w:r w:rsidRPr="00FE1FBD">
              <w:rPr>
                <w:rFonts w:ascii="Times New Roman" w:eastAsia="Times New Roman" w:hAnsi="Times New Roman" w:cs="Times New Roman"/>
              </w:rPr>
              <w:t>System recovery performance</w:t>
            </w:r>
          </w:p>
        </w:tc>
        <w:tc>
          <w:tcPr>
            <w:tcW w:w="2739" w:type="dxa"/>
          </w:tcPr>
          <w:p w:rsidR="005D0850" w:rsidRPr="00FE1FBD" w:rsidRDefault="0085751F" w:rsidP="00B36097">
            <w:pPr>
              <w:rPr>
                <w:rFonts w:ascii="Times New Roman" w:eastAsia="Times New Roman" w:hAnsi="Times New Roman" w:cs="Times New Roman"/>
              </w:rPr>
            </w:pPr>
            <w:r w:rsidRPr="00FE1FBD">
              <w:rPr>
                <w:rFonts w:ascii="Times New Roman" w:eastAsia="Times New Roman" w:hAnsi="Times New Roman" w:cs="Times New Roman"/>
              </w:rPr>
              <w:t>Time-domain response</w:t>
            </w:r>
          </w:p>
        </w:tc>
      </w:tr>
    </w:tbl>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5.1 From Performance Accuracy to Safety-Critical Metrics</w:t>
      </w:r>
    </w:p>
    <w:p w:rsidR="004B1739" w:rsidRPr="00FE1FBD" w:rsidRDefault="004B1739"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Traditional AI evaluation focuses on utility-oriented indicators such as accuracy, precision, recall, or economic cost reduction. These measures are useful, but they do not directly reflect safety. In critical infrastructures, even rare AI errors may have severe physical consequences. A model with high average accuracy may therefore remain unsafe if its occasional failures occur during stressed operating conditions [138].</w:t>
      </w:r>
    </w:p>
    <w:p w:rsidR="00F03768" w:rsidRPr="00FE1FBD" w:rsidRDefault="00216ED3" w:rsidP="00FE1FBD">
      <w:pPr>
        <w:spacing w:before="120" w:after="120" w:line="240" w:lineRule="auto"/>
        <w:rPr>
          <w:rFonts w:ascii="Times New Roman" w:eastAsia="Times New Roman" w:hAnsi="Times New Roman" w:cs="Times New Roman"/>
        </w:rPr>
      </w:pPr>
      <w:r w:rsidRPr="00216ED3">
        <w:rPr>
          <w:rFonts w:ascii="Times New Roman" w:eastAsia="Times New Roman" w:hAnsi="Times New Roman" w:cs="Times New Roman"/>
        </w:rPr>
        <w:t>For this reason, Safe AI evaluation should extend beyond average performance and consider whether an AI-enabled function remains dependable when interacting with realistic cyber-physical uncertainty. This requires assessment perspectives that capture not only whether the model performs well, but also whether unsafe behavior can be anticipated, bounded, interce</w:t>
      </w:r>
      <w:r>
        <w:rPr>
          <w:rFonts w:ascii="Times New Roman" w:eastAsia="Times New Roman" w:hAnsi="Times New Roman" w:cs="Times New Roman"/>
        </w:rPr>
        <w:t>pted, or recovered from in time</w:t>
      </w:r>
      <w:r w:rsidR="004B1739" w:rsidRPr="00FE1FBD">
        <w:rPr>
          <w:rFonts w:ascii="Times New Roman" w:eastAsia="Times New Roman" w:hAnsi="Times New Roman" w:cs="Times New Roman"/>
        </w:rPr>
        <w:t>.</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 xml:space="preserve">5.2 </w:t>
      </w:r>
      <w:r w:rsidR="0053718A" w:rsidRPr="0053718A">
        <w:rPr>
          <w:rFonts w:ascii="Times New Roman" w:eastAsia="Times New Roman" w:hAnsi="Times New Roman" w:cs="Times New Roman"/>
          <w:b/>
          <w:bCs/>
        </w:rPr>
        <w:t>Reliability Under Uncertainty and Distribution Shift</w:t>
      </w:r>
    </w:p>
    <w:p w:rsidR="00665A35" w:rsidRPr="00FE1FBD" w:rsidRDefault="0053718A" w:rsidP="00FE1FBD">
      <w:pPr>
        <w:spacing w:before="120" w:after="120" w:line="240" w:lineRule="auto"/>
        <w:rPr>
          <w:rFonts w:ascii="Times New Roman" w:eastAsia="Times New Roman" w:hAnsi="Times New Roman" w:cs="Times New Roman"/>
        </w:rPr>
      </w:pPr>
      <w:r w:rsidRPr="0053718A">
        <w:rPr>
          <w:rFonts w:ascii="Times New Roman" w:eastAsia="Times New Roman" w:hAnsi="Times New Roman" w:cs="Times New Roman"/>
        </w:rPr>
        <w:t>A first evaluation dimension concerns the reliability of AI outputs under uncertain, noisy, incomplete, or shifted conditions. For supervised learning, this includes how predictive error changes when inputs are corrupted, partially missing, or drawn from operating regimes not well represented in the training data. For control-oriented AI, it includes whether policy outputs remain stable and physically reasonable when observations become imperfect or when system conditions depart from nominal assumptions</w:t>
      </w:r>
      <w:r w:rsidR="00665A35" w:rsidRPr="00FE1FBD">
        <w:rPr>
          <w:rFonts w:ascii="Times New Roman" w:eastAsia="Times New Roman" w:hAnsi="Times New Roman" w:cs="Times New Roman"/>
        </w:rPr>
        <w:t xml:space="preserve"> [139].</w:t>
      </w:r>
    </w:p>
    <w:p w:rsidR="0053718A" w:rsidRPr="0053718A" w:rsidRDefault="0053718A" w:rsidP="0053718A">
      <w:pPr>
        <w:spacing w:before="120" w:after="120" w:line="240" w:lineRule="auto"/>
        <w:rPr>
          <w:rFonts w:ascii="Times New Roman" w:eastAsia="Times New Roman" w:hAnsi="Times New Roman" w:cs="Times New Roman"/>
        </w:rPr>
      </w:pPr>
      <w:r w:rsidRPr="0053718A">
        <w:rPr>
          <w:rFonts w:ascii="Times New Roman" w:eastAsia="Times New Roman" w:hAnsi="Times New Roman" w:cs="Times New Roman"/>
        </w:rPr>
        <w:t>In practical studies, this dimension may be assessed using stress testing, Monte Carlo simulation, adversarial perturbation analysis, calibration analysis, ensemble disagreement, or uncertainty-aware validation. The key purpose is not merely to report performance degradation, but to understand whether the model exhibits unsafe overconfidence, unstable output variation, or loss of trustworthiness under abnormal conditions.</w:t>
      </w:r>
    </w:p>
    <w:p w:rsidR="00F03768" w:rsidRPr="00FE1FBD" w:rsidRDefault="0053718A" w:rsidP="0053718A">
      <w:pPr>
        <w:spacing w:before="120" w:after="120" w:line="240" w:lineRule="auto"/>
        <w:rPr>
          <w:rFonts w:ascii="Times New Roman" w:eastAsia="Times New Roman" w:hAnsi="Times New Roman" w:cs="Times New Roman"/>
        </w:rPr>
      </w:pPr>
      <w:r w:rsidRPr="0053718A">
        <w:rPr>
          <w:rFonts w:ascii="Times New Roman" w:eastAsia="Times New Roman" w:hAnsi="Times New Roman" w:cs="Times New Roman"/>
        </w:rPr>
        <w:t>Accordingly, reliability under uncertainty should be viewed as a foundational safety-evaluation perspective. It does not by itself establish full system safety, but it provides an important first indication of whether an AI component can be trusted as conditions become less ideal</w:t>
      </w:r>
      <w:r w:rsidR="00665A35" w:rsidRPr="00FE1FBD">
        <w:rPr>
          <w:rFonts w:ascii="Times New Roman" w:eastAsia="Times New Roman" w:hAnsi="Times New Roman" w:cs="Times New Roman"/>
        </w:rPr>
        <w:t xml:space="preserve"> [140].</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 xml:space="preserve">5.3 </w:t>
      </w:r>
      <w:r w:rsidR="004F4021" w:rsidRPr="004F4021">
        <w:rPr>
          <w:rFonts w:ascii="Times New Roman" w:eastAsia="Times New Roman" w:hAnsi="Times New Roman" w:cs="Times New Roman"/>
          <w:b/>
          <w:bCs/>
        </w:rPr>
        <w:t>Operational Risk Exposure and Consequence Awareness</w:t>
      </w:r>
    </w:p>
    <w:p w:rsidR="004F4021" w:rsidRPr="004F4021" w:rsidRDefault="004F4021" w:rsidP="004F4021">
      <w:pPr>
        <w:spacing w:before="120" w:after="120" w:line="240" w:lineRule="auto"/>
        <w:rPr>
          <w:rFonts w:ascii="Times New Roman" w:eastAsia="Times New Roman" w:hAnsi="Times New Roman" w:cs="Times New Roman"/>
        </w:rPr>
      </w:pPr>
      <w:r w:rsidRPr="004F4021">
        <w:rPr>
          <w:rFonts w:ascii="Times New Roman" w:eastAsia="Times New Roman" w:hAnsi="Times New Roman" w:cs="Times New Roman"/>
        </w:rPr>
        <w:t>A second evaluation dimension concerns the extent to which AI errors translate into operational risk once embedded in Power CPS. From a safety perspective, the key issue is not only whether the AI component fails, but also what kinds of system-level consequences may follow from that failure. For example, an inaccurate forecast may increase reserve insufficiency, a misclassified event may delay protection response, and an unsafe control action may amplify voltage or frequency excursions.</w:t>
      </w:r>
    </w:p>
    <w:p w:rsidR="004F4021" w:rsidRDefault="004F4021" w:rsidP="004F4021">
      <w:pPr>
        <w:spacing w:before="120" w:after="120" w:line="240" w:lineRule="auto"/>
        <w:rPr>
          <w:rFonts w:ascii="Times New Roman" w:eastAsia="Times New Roman" w:hAnsi="Times New Roman" w:cs="Times New Roman"/>
        </w:rPr>
      </w:pPr>
      <w:r w:rsidRPr="004F4021">
        <w:rPr>
          <w:rFonts w:ascii="Times New Roman" w:eastAsia="Times New Roman" w:hAnsi="Times New Roman" w:cs="Times New Roman"/>
        </w:rPr>
        <w:lastRenderedPageBreak/>
        <w:t>This perspective therefore emphasizes consequence-aware assessment. In practice, it can be supported by co-simulation, scenario-based stress testing, dynamic security analysis, or closed-loop evaluation in digital twins, where AI outputs are linked to physical system behavior. Such analysis helps reveal where model errors remain tolerable and where they may escalate into unacceptable operational outcomes.</w:t>
      </w:r>
    </w:p>
    <w:p w:rsidR="00F03768" w:rsidRPr="00FE1FBD" w:rsidRDefault="00F03768"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Beyond reliability of individual models, Safe AI must estimate the </w:t>
      </w:r>
      <w:r w:rsidRPr="00FE1FBD">
        <w:rPr>
          <w:rFonts w:ascii="Times New Roman" w:eastAsia="Times New Roman" w:hAnsi="Times New Roman" w:cs="Times New Roman"/>
          <w:i/>
          <w:iCs/>
        </w:rPr>
        <w:t>systemic exposure</w:t>
      </w:r>
      <w:r w:rsidRPr="00FE1FBD">
        <w:rPr>
          <w:rFonts w:ascii="Times New Roman" w:eastAsia="Times New Roman" w:hAnsi="Times New Roman" w:cs="Times New Roman"/>
        </w:rPr>
        <w:t xml:space="preserve"> that arises when AI decisions interact with the physical grid</w:t>
      </w:r>
      <w:r w:rsidR="005465AF" w:rsidRPr="00FE1FBD">
        <w:rPr>
          <w:rFonts w:ascii="Times New Roman" w:eastAsia="Times New Roman" w:hAnsi="Times New Roman" w:cs="Times New Roman"/>
        </w:rPr>
        <w:t xml:space="preserve"> [141]</w:t>
      </w:r>
      <w:r w:rsidRPr="00FE1FBD">
        <w:rPr>
          <w:rFonts w:ascii="Times New Roman" w:eastAsia="Times New Roman" w:hAnsi="Times New Roman" w:cs="Times New Roman"/>
        </w:rPr>
        <w:t xml:space="preserve">. </w:t>
      </w:r>
      <w:r w:rsidR="005465AF" w:rsidRPr="00FE1FBD">
        <w:rPr>
          <w:rFonts w:ascii="Times New Roman" w:eastAsia="Times New Roman" w:hAnsi="Times New Roman" w:cs="Times New Roman"/>
        </w:rPr>
        <w:t xml:space="preserve">The Risk Exposure (RE) metric formally quantifies the expected system-level loss as: </w:t>
      </w:r>
    </w:p>
    <w:p w:rsidR="00115D6C" w:rsidRPr="00FE1FBD" w:rsidRDefault="00115D6C" w:rsidP="00FE1FBD">
      <w:pPr>
        <w:spacing w:before="120" w:after="120" w:line="240" w:lineRule="auto"/>
        <w:jc w:val="right"/>
        <w:rPr>
          <w:rFonts w:ascii="Times New Roman" w:eastAsia="Times New Roman" w:hAnsi="Times New Roman" w:cs="Times New Roman"/>
        </w:rPr>
      </w:pPr>
      <w:r w:rsidRPr="00FE1FBD">
        <w:rPr>
          <w:rFonts w:ascii="Times New Roman" w:eastAsia="Times New Roman" w:hAnsi="Times New Roman" w:cs="Times New Roman"/>
          <w:position w:val="-30"/>
        </w:rPr>
        <w:object w:dxaOrig="1900" w:dyaOrig="560">
          <v:shape id="_x0000_i1027" type="#_x0000_t75" style="width:95.2pt;height:28.65pt" o:ole="">
            <v:imagedata r:id="rId11" o:title=""/>
          </v:shape>
          <o:OLEObject Type="Embed" ProgID="Equation.DSMT4" ShapeID="_x0000_i1027" DrawAspect="Content" ObjectID="_1841152639" r:id="rId12"/>
        </w:object>
      </w:r>
      <w:r w:rsidRPr="00FE1FBD">
        <w:rPr>
          <w:rFonts w:ascii="Times New Roman" w:eastAsia="Times New Roman" w:hAnsi="Times New Roman" w:cs="Times New Roman"/>
        </w:rPr>
        <w:t xml:space="preserve">                                                    (1)</w:t>
      </w:r>
    </w:p>
    <w:p w:rsidR="005465AF" w:rsidRPr="00FE1FBD" w:rsidRDefault="005465AF" w:rsidP="00FE1FBD">
      <w:pPr>
        <w:spacing w:before="120" w:after="120" w:line="240" w:lineRule="auto"/>
        <w:rPr>
          <w:rFonts w:ascii="Times New Roman" w:eastAsia="Times New Roman" w:hAnsi="Times New Roman" w:cs="Times New Roman"/>
        </w:rPr>
      </w:pPr>
      <w:r w:rsidRPr="00FE1FBD">
        <w:rPr>
          <w:rFonts w:ascii="Times New Roman" w:hAnsi="Times New Roman" w:cs="Times New Roman"/>
        </w:rPr>
        <w:t xml:space="preserve">where </w:t>
      </w:r>
      <w:r w:rsidRPr="00FE1FBD">
        <w:rPr>
          <w:rStyle w:val="katex-mathml"/>
          <w:rFonts w:ascii="Times New Roman" w:hAnsi="Times New Roman" w:cs="Times New Roman"/>
          <w:i/>
        </w:rPr>
        <w:t>P</w:t>
      </w:r>
      <w:r w:rsidRPr="00FE1FBD">
        <w:rPr>
          <w:rStyle w:val="katex-mathml"/>
          <w:rFonts w:ascii="Times New Roman" w:hAnsi="Times New Roman" w:cs="Times New Roman"/>
        </w:rPr>
        <w:t>(</w:t>
      </w:r>
      <w:r w:rsidRPr="00FE1FBD">
        <w:rPr>
          <w:rStyle w:val="katex-mathml"/>
          <w:rFonts w:ascii="Times New Roman" w:hAnsi="Times New Roman" w:cs="Times New Roman"/>
          <w:i/>
        </w:rPr>
        <w:t>f</w:t>
      </w:r>
      <w:r w:rsidRPr="00FE1FBD">
        <w:rPr>
          <w:rStyle w:val="katex-mathml"/>
          <w:rFonts w:ascii="Times New Roman" w:hAnsi="Times New Roman" w:cs="Times New Roman"/>
        </w:rPr>
        <w:t>)</w:t>
      </w:r>
      <w:r w:rsidRPr="00FE1FBD">
        <w:rPr>
          <w:rFonts w:ascii="Times New Roman" w:hAnsi="Times New Roman" w:cs="Times New Roman"/>
        </w:rPr>
        <w:t xml:space="preserve"> denotes the probability of an AI-induced failure event </w:t>
      </w:r>
      <w:r w:rsidRPr="00FE1FBD">
        <w:rPr>
          <w:rStyle w:val="katex-mathml"/>
          <w:rFonts w:ascii="Times New Roman" w:hAnsi="Times New Roman" w:cs="Times New Roman"/>
          <w:i/>
        </w:rPr>
        <w:t>f</w:t>
      </w:r>
      <w:r w:rsidRPr="00FE1FBD">
        <w:rPr>
          <w:rFonts w:ascii="Times New Roman" w:hAnsi="Times New Roman" w:cs="Times New Roman"/>
        </w:rPr>
        <w:t xml:space="preserve">, and </w:t>
      </w:r>
      <w:r w:rsidRPr="00FE1FBD">
        <w:rPr>
          <w:rStyle w:val="katex-mathml"/>
          <w:rFonts w:ascii="Times New Roman" w:hAnsi="Times New Roman" w:cs="Times New Roman"/>
          <w:i/>
        </w:rPr>
        <w:t>S</w:t>
      </w:r>
      <w:r w:rsidRPr="00FE1FBD">
        <w:rPr>
          <w:rStyle w:val="katex-mathml"/>
          <w:rFonts w:ascii="Times New Roman" w:hAnsi="Times New Roman" w:cs="Times New Roman"/>
        </w:rPr>
        <w:t>(</w:t>
      </w:r>
      <w:r w:rsidRPr="00FE1FBD">
        <w:rPr>
          <w:rStyle w:val="katex-mathml"/>
          <w:rFonts w:ascii="Times New Roman" w:hAnsi="Times New Roman" w:cs="Times New Roman"/>
          <w:i/>
        </w:rPr>
        <w:t>f</w:t>
      </w:r>
      <w:r w:rsidRPr="00FE1FBD">
        <w:rPr>
          <w:rStyle w:val="katex-mathml"/>
          <w:rFonts w:ascii="Times New Roman" w:hAnsi="Times New Roman" w:cs="Times New Roman"/>
        </w:rPr>
        <w:t>)</w:t>
      </w:r>
      <w:r w:rsidRPr="00FE1FBD">
        <w:rPr>
          <w:rFonts w:ascii="Times New Roman" w:hAnsi="Times New Roman" w:cs="Times New Roman"/>
        </w:rPr>
        <w:t xml:space="preserve"> captures the severity of its consequence.</w:t>
      </w:r>
    </w:p>
    <w:p w:rsidR="00F03768" w:rsidRPr="00FE1FBD" w:rsidRDefault="00F03768"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Quantifying RE requires co-simulation environments where AI outputs are injected into power-flow or dynamic-stability models. For example, an RL-based voltage controller can be tested under hundreds of fault scenarios to compute expected overshoot beyond safe voltage limits. Statistical analysis of such simulations yields a risk surface identifying regions of high vulnerability. This approach transforms safety evaluation from qualitative assurance to quantitative forecasting of unsafe likelihoods.</w:t>
      </w:r>
    </w:p>
    <w:p w:rsidR="003F53C8" w:rsidRPr="00FE1FBD" w:rsidRDefault="00F03768"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Another useful construct is the </w:t>
      </w:r>
      <w:r w:rsidRPr="00FE1FBD">
        <w:rPr>
          <w:rFonts w:ascii="Times New Roman" w:eastAsia="Times New Roman" w:hAnsi="Times New Roman" w:cs="Times New Roman"/>
          <w:bCs/>
        </w:rPr>
        <w:t>Safety Impact Factor (SIF)</w:t>
      </w:r>
      <w:r w:rsidR="003F53C8" w:rsidRPr="00FE1FBD">
        <w:rPr>
          <w:rFonts w:ascii="Times New Roman" w:eastAsia="Times New Roman" w:hAnsi="Times New Roman" w:cs="Times New Roman"/>
        </w:rPr>
        <w:t>. The SIF provides a normalized view of how AI deployment modifies system reliability:</w:t>
      </w:r>
    </w:p>
    <w:p w:rsidR="003F53C8" w:rsidRPr="00FE1FBD" w:rsidRDefault="003F53C8" w:rsidP="00FE1FBD">
      <w:pPr>
        <w:spacing w:before="120" w:after="120" w:line="240" w:lineRule="auto"/>
        <w:jc w:val="right"/>
        <w:rPr>
          <w:rFonts w:ascii="Times New Roman" w:eastAsia="Times New Roman" w:hAnsi="Times New Roman" w:cs="Times New Roman"/>
        </w:rPr>
      </w:pPr>
      <w:r w:rsidRPr="00FE1FBD">
        <w:rPr>
          <w:rFonts w:ascii="Times New Roman" w:eastAsia="Times New Roman" w:hAnsi="Times New Roman" w:cs="Times New Roman"/>
          <w:position w:val="-30"/>
        </w:rPr>
        <w:object w:dxaOrig="1100" w:dyaOrig="680">
          <v:shape id="_x0000_i1028" type="#_x0000_t75" style="width:54.95pt;height:33.8pt" o:ole="">
            <v:imagedata r:id="rId13" o:title=""/>
          </v:shape>
          <o:OLEObject Type="Embed" ProgID="Equation.DSMT4" ShapeID="_x0000_i1028" DrawAspect="Content" ObjectID="_1841152640" r:id="rId14"/>
        </w:object>
      </w:r>
      <w:r w:rsidRPr="00FE1FBD">
        <w:rPr>
          <w:rFonts w:ascii="Times New Roman" w:eastAsia="Times New Roman" w:hAnsi="Times New Roman" w:cs="Times New Roman"/>
        </w:rPr>
        <w:t xml:space="preserve">                                                           (2)</w:t>
      </w:r>
    </w:p>
    <w:p w:rsidR="00FE5474" w:rsidRPr="00FE1FBD" w:rsidRDefault="00E25684"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A value of </w:t>
      </w:r>
      <w:r w:rsidR="00F03768" w:rsidRPr="00FE1FBD">
        <w:rPr>
          <w:rFonts w:ascii="Times New Roman" w:eastAsia="Times New Roman" w:hAnsi="Times New Roman" w:cs="Times New Roman"/>
        </w:rPr>
        <w:t>SIF &gt; 1 indicates improved reliability</w:t>
      </w:r>
      <w:r w:rsidR="006B4DA8" w:rsidRPr="00FE1FBD">
        <w:rPr>
          <w:rFonts w:ascii="Times New Roman" w:eastAsia="Times New Roman" w:hAnsi="Times New Roman" w:cs="Times New Roman"/>
        </w:rPr>
        <w:t>, while</w:t>
      </w:r>
      <w:r w:rsidR="00F03768" w:rsidRPr="00FE1FBD">
        <w:rPr>
          <w:rFonts w:ascii="Times New Roman" w:eastAsia="Times New Roman" w:hAnsi="Times New Roman" w:cs="Times New Roman"/>
        </w:rPr>
        <w:t xml:space="preserve"> SIF &lt; 1 signals</w:t>
      </w:r>
      <w:r w:rsidR="006B4DA8" w:rsidRPr="00FE1FBD">
        <w:rPr>
          <w:rFonts w:ascii="Times New Roman" w:eastAsia="Times New Roman" w:hAnsi="Times New Roman" w:cs="Times New Roman"/>
        </w:rPr>
        <w:t xml:space="preserve"> reliability</w:t>
      </w:r>
      <w:r w:rsidR="00F03768" w:rsidRPr="00FE1FBD">
        <w:rPr>
          <w:rFonts w:ascii="Times New Roman" w:eastAsia="Times New Roman" w:hAnsi="Times New Roman" w:cs="Times New Roman"/>
        </w:rPr>
        <w:t xml:space="preserve"> degradation. Tracking SIF across operational periods allows operators to audit whether learning models genuinely enhance or inadvertently reduce safety margins</w:t>
      </w:r>
      <w:r w:rsidR="00F434D3" w:rsidRPr="00FE1FBD">
        <w:rPr>
          <w:rFonts w:ascii="Times New Roman" w:eastAsia="Times New Roman" w:hAnsi="Times New Roman" w:cs="Times New Roman"/>
        </w:rPr>
        <w:t xml:space="preserve"> [142]</w:t>
      </w:r>
      <w:r w:rsidR="00F03768" w:rsidRPr="00FE1FBD">
        <w:rPr>
          <w:rFonts w:ascii="Times New Roman" w:eastAsia="Times New Roman" w:hAnsi="Times New Roman" w:cs="Times New Roman"/>
        </w:rPr>
        <w:t>.</w:t>
      </w:r>
      <w:r w:rsidR="0068052D" w:rsidRPr="00FE1FBD">
        <w:rPr>
          <w:rFonts w:ascii="Times New Roman" w:eastAsia="Times New Roman" w:hAnsi="Times New Roman" w:cs="Times New Roman"/>
        </w:rPr>
        <w:t xml:space="preserve"> </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 xml:space="preserve">5.4 </w:t>
      </w:r>
      <w:r w:rsidR="004F4021" w:rsidRPr="004F4021">
        <w:rPr>
          <w:rFonts w:ascii="Times New Roman" w:eastAsia="Times New Roman" w:hAnsi="Times New Roman" w:cs="Times New Roman"/>
          <w:b/>
          <w:bCs/>
        </w:rPr>
        <w:t>Fallback Capability and Runtime Intervention</w:t>
      </w:r>
    </w:p>
    <w:p w:rsidR="004F4021" w:rsidRPr="004F4021" w:rsidRDefault="004F4021" w:rsidP="004F4021">
      <w:pPr>
        <w:spacing w:before="120" w:after="120" w:line="240" w:lineRule="auto"/>
        <w:rPr>
          <w:rFonts w:ascii="Times New Roman" w:eastAsia="Times New Roman" w:hAnsi="Times New Roman" w:cs="Times New Roman"/>
        </w:rPr>
      </w:pPr>
      <w:r w:rsidRPr="004F4021">
        <w:rPr>
          <w:rFonts w:ascii="Times New Roman" w:eastAsia="Times New Roman" w:hAnsi="Times New Roman" w:cs="Times New Roman"/>
        </w:rPr>
        <w:t>A third evaluation dimension concerns whether unsafe AI behavior can be detected and mitigated before it causes unacceptable harm. Because AI errors cannot be fully eliminated, Safe AI also depends on the existence and effectiveness of runtime intervention mechanisms, including anomaly detection, supervisory monitoring, rule-based fallback, confidence-triggered override, or human intervention.</w:t>
      </w:r>
    </w:p>
    <w:p w:rsidR="004F4021" w:rsidRPr="004F4021" w:rsidRDefault="004F4021" w:rsidP="004F4021">
      <w:pPr>
        <w:spacing w:before="120" w:after="120" w:line="240" w:lineRule="auto"/>
        <w:rPr>
          <w:rFonts w:ascii="Times New Roman" w:eastAsia="Times New Roman" w:hAnsi="Times New Roman" w:cs="Times New Roman"/>
        </w:rPr>
      </w:pPr>
      <w:r w:rsidRPr="004F4021">
        <w:rPr>
          <w:rFonts w:ascii="Times New Roman" w:eastAsia="Times New Roman" w:hAnsi="Times New Roman" w:cs="Times New Roman"/>
        </w:rPr>
        <w:t>This perspective is especially important in control, protection, and emergency-support applications, where delayed or inappropriate AI outputs may have rapid physical consequences. In such cases, it is often more meaningful to evaluate the timeliness and reliability of fallback behavior than to rely exclusively on offline predictive metrics. Representative evidence may include switchover success, override latency, retained functionality in degraded mode, or the consistency of monitor-triggered protection under stress scenarios</w:t>
      </w:r>
      <w:r w:rsidR="00E72EAD">
        <w:rPr>
          <w:rFonts w:ascii="Times New Roman" w:eastAsia="Times New Roman" w:hAnsi="Times New Roman" w:cs="Times New Roman"/>
        </w:rPr>
        <w:t xml:space="preserve"> </w:t>
      </w:r>
      <w:r w:rsidR="00E72EAD" w:rsidRPr="00FE1FBD">
        <w:rPr>
          <w:rFonts w:ascii="Times New Roman" w:eastAsia="Times New Roman" w:hAnsi="Times New Roman" w:cs="Times New Roman"/>
        </w:rPr>
        <w:t>[14</w:t>
      </w:r>
      <w:r w:rsidR="00E72EAD">
        <w:rPr>
          <w:rFonts w:ascii="Times New Roman" w:eastAsia="Times New Roman" w:hAnsi="Times New Roman" w:cs="Times New Roman"/>
        </w:rPr>
        <w:t>3</w:t>
      </w:r>
      <w:r w:rsidR="00E72EAD" w:rsidRPr="00FE1FBD">
        <w:rPr>
          <w:rFonts w:ascii="Times New Roman" w:eastAsia="Times New Roman" w:hAnsi="Times New Roman" w:cs="Times New Roman"/>
        </w:rPr>
        <w:t>].</w:t>
      </w:r>
    </w:p>
    <w:p w:rsidR="00F03768" w:rsidRPr="00FE1FBD" w:rsidRDefault="004F4021" w:rsidP="00FE1FBD">
      <w:pPr>
        <w:spacing w:before="120" w:after="120" w:line="240" w:lineRule="auto"/>
        <w:rPr>
          <w:rFonts w:ascii="Times New Roman" w:eastAsia="Times New Roman" w:hAnsi="Times New Roman" w:cs="Times New Roman"/>
        </w:rPr>
      </w:pPr>
      <w:r w:rsidRPr="004F4021">
        <w:rPr>
          <w:rFonts w:ascii="Times New Roman" w:eastAsia="Times New Roman" w:hAnsi="Times New Roman" w:cs="Times New Roman"/>
        </w:rPr>
        <w:t>Therefore, fallback capability should be treated as an essential part of safety evaluation rather than as a secondary implementation detail. In many practical settings, the ability to fail safely is just as important as the ability to perform acc</w:t>
      </w:r>
      <w:r>
        <w:rPr>
          <w:rFonts w:ascii="Times New Roman" w:eastAsia="Times New Roman" w:hAnsi="Times New Roman" w:cs="Times New Roman"/>
        </w:rPr>
        <w:t>urately under normal conditions</w:t>
      </w:r>
      <w:r w:rsidR="00FA728B" w:rsidRPr="00FE1FBD">
        <w:rPr>
          <w:rFonts w:ascii="Times New Roman" w:eastAsia="Times New Roman" w:hAnsi="Times New Roman" w:cs="Times New Roman"/>
        </w:rPr>
        <w:t>.</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5.5 Resilience Factor and Systemic Recovery</w:t>
      </w:r>
    </w:p>
    <w:p w:rsidR="001A4975" w:rsidRPr="00FE1FBD" w:rsidRDefault="001A4975"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While FST focuses on local fallback capability, the Resilience Factor (RF) evaluates broader system recovery after disturbances initiated or amplified by AI components. RF is an </w:t>
      </w:r>
      <w:r w:rsidRPr="00FE1FBD">
        <w:rPr>
          <w:rFonts w:ascii="Times New Roman" w:eastAsia="Times New Roman" w:hAnsi="Times New Roman" w:cs="Times New Roman"/>
        </w:rPr>
        <w:lastRenderedPageBreak/>
        <w:t>operationally motivated construct intended to capture how well the system absorbs disruption, maintains critical functionality, and returns toward an acceptable operating state over time [144].</w:t>
      </w:r>
    </w:p>
    <w:p w:rsidR="00F03768" w:rsidRPr="00FE1FBD" w:rsidRDefault="001A4975"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In practice, RF can be interpreted through normalized post-disturbance performance trajectories, such as restoration of frequency, voltage security, service continuity, or control stability. Unlike RI, which remains largely model-oriented, RF is explicitly system-oriented. It is therefore most meaningful when assessed through time-domain simulations or dynamic co-simulation that link AI actions to physical transients and recovery behavior [145]. Used together, RE, FST, and RF provide a more complete picture of unsafe likelihood, fail-safe response, and post-event recovery.</w:t>
      </w:r>
    </w:p>
    <w:p w:rsidR="00B1795D" w:rsidRPr="004B5105" w:rsidRDefault="00F03768" w:rsidP="00B1795D">
      <w:pPr>
        <w:spacing w:before="120" w:after="120"/>
        <w:outlineLvl w:val="2"/>
        <w:rPr>
          <w:rFonts w:ascii="Times New Roman" w:eastAsia="Times New Roman" w:hAnsi="Times New Roman" w:cs="Times New Roman"/>
          <w:b/>
          <w:bCs/>
        </w:rPr>
      </w:pPr>
      <w:r w:rsidRPr="00FE1FBD">
        <w:rPr>
          <w:rFonts w:ascii="Times New Roman" w:eastAsia="Times New Roman" w:hAnsi="Times New Roman" w:cs="Times New Roman"/>
          <w:b/>
          <w:bCs/>
        </w:rPr>
        <w:t xml:space="preserve">5.6 </w:t>
      </w:r>
      <w:r w:rsidR="00B1795D" w:rsidRPr="004B5105">
        <w:rPr>
          <w:rFonts w:ascii="Times New Roman" w:eastAsia="Times New Roman" w:hAnsi="Times New Roman" w:cs="Times New Roman"/>
          <w:b/>
          <w:bCs/>
        </w:rPr>
        <w:t>Benchmarking and Testbed Considerations</w:t>
      </w:r>
    </w:p>
    <w:p w:rsidR="00B1795D" w:rsidRPr="00B1795D" w:rsidRDefault="00B1795D" w:rsidP="00B1795D">
      <w:pPr>
        <w:spacing w:before="120" w:after="120" w:line="240" w:lineRule="auto"/>
        <w:outlineLvl w:val="2"/>
        <w:rPr>
          <w:rFonts w:ascii="Times New Roman" w:eastAsia="Times New Roman" w:hAnsi="Times New Roman" w:cs="Times New Roman"/>
          <w:bCs/>
        </w:rPr>
      </w:pPr>
      <w:r w:rsidRPr="00B1795D">
        <w:rPr>
          <w:rFonts w:ascii="Times New Roman" w:eastAsia="Times New Roman" w:hAnsi="Times New Roman" w:cs="Times New Roman"/>
          <w:bCs/>
        </w:rPr>
        <w:t>Reliable safety evaluation requires more than isolated case studies. At present, many AI studies in power systems still rely on custom datasets, limited scenario coverage, and inconsistent experimental settings, making it difficult to compare safety-related claims across studies. For Safe AI research to mature, more attention should be given to shared benchmark practices and realistic validation environments</w:t>
      </w:r>
      <w:r>
        <w:rPr>
          <w:rFonts w:ascii="Times New Roman" w:eastAsia="Times New Roman" w:hAnsi="Times New Roman" w:cs="Times New Roman"/>
          <w:bCs/>
        </w:rPr>
        <w:t xml:space="preserve"> [146]</w:t>
      </w:r>
      <w:r w:rsidRPr="00B1795D">
        <w:rPr>
          <w:rFonts w:ascii="Times New Roman" w:eastAsia="Times New Roman" w:hAnsi="Times New Roman" w:cs="Times New Roman"/>
          <w:bCs/>
        </w:rPr>
        <w:t>.</w:t>
      </w:r>
    </w:p>
    <w:p w:rsidR="00B1795D" w:rsidRPr="00B1795D" w:rsidRDefault="00B1795D" w:rsidP="00B1795D">
      <w:pPr>
        <w:spacing w:before="120" w:after="120" w:line="240" w:lineRule="auto"/>
        <w:outlineLvl w:val="2"/>
        <w:rPr>
          <w:rFonts w:ascii="Times New Roman" w:eastAsia="Times New Roman" w:hAnsi="Times New Roman" w:cs="Times New Roman"/>
          <w:bCs/>
        </w:rPr>
      </w:pPr>
      <w:r w:rsidRPr="00B1795D">
        <w:rPr>
          <w:rFonts w:ascii="Times New Roman" w:eastAsia="Times New Roman" w:hAnsi="Times New Roman" w:cs="Times New Roman"/>
          <w:bCs/>
        </w:rPr>
        <w:t>A practical safety-oriented benchmark should ideally include representative operating data, abnormal and adversarial scenarios, physically meaningful system models, and evaluation procedures that examine reliability, consequence awareness, fallback behavior, and recovery performance together rather than in isolation. Digital twins and hybrid synthetic-real data platforms may provide valuable infrastructure for this purpose, particularly when rare contingencies and cyber-physical disturbances are difficult to observe directly in real systems.</w:t>
      </w:r>
    </w:p>
    <w:p w:rsidR="00F03768" w:rsidRPr="00B1795D" w:rsidRDefault="00B1795D" w:rsidP="00B1795D">
      <w:pPr>
        <w:spacing w:before="120" w:after="120" w:line="240" w:lineRule="auto"/>
        <w:outlineLvl w:val="2"/>
        <w:rPr>
          <w:rFonts w:ascii="Times New Roman" w:eastAsia="Times New Roman" w:hAnsi="Times New Roman" w:cs="Times New Roman"/>
          <w:bCs/>
        </w:rPr>
      </w:pPr>
      <w:r w:rsidRPr="00B1795D">
        <w:rPr>
          <w:rFonts w:ascii="Times New Roman" w:eastAsia="Times New Roman" w:hAnsi="Times New Roman" w:cs="Times New Roman"/>
          <w:bCs/>
        </w:rPr>
        <w:t>Although benchmark development remains incomplete, it is essential for improving comparability, reproducibility, and credibility in future Safe AI studies for Power CPS.</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5</w:t>
      </w:r>
      <w:r w:rsidR="00EE013A">
        <w:rPr>
          <w:rFonts w:ascii="Times New Roman" w:eastAsia="Times New Roman" w:hAnsi="Times New Roman" w:cs="Times New Roman"/>
          <w:b/>
          <w:bCs/>
        </w:rPr>
        <w:t xml:space="preserve">.7 </w:t>
      </w:r>
      <w:r w:rsidR="000A72CF">
        <w:rPr>
          <w:rFonts w:ascii="Times New Roman" w:eastAsia="Times New Roman" w:hAnsi="Times New Roman" w:cs="Times New Roman"/>
          <w:b/>
          <w:bCs/>
        </w:rPr>
        <w:t>T</w:t>
      </w:r>
      <w:r w:rsidR="00E37BB5" w:rsidRPr="00E37BB5">
        <w:rPr>
          <w:rFonts w:ascii="Times New Roman" w:eastAsia="Times New Roman" w:hAnsi="Times New Roman" w:cs="Times New Roman"/>
          <w:b/>
          <w:bCs/>
        </w:rPr>
        <w:t>rade-offs Among Safety, Performance, and Autonomy</w:t>
      </w:r>
    </w:p>
    <w:p w:rsidR="003677AA" w:rsidRPr="00FE1FBD" w:rsidRDefault="009563A2" w:rsidP="00FE1FBD">
      <w:pPr>
        <w:spacing w:before="120" w:after="120" w:line="240" w:lineRule="auto"/>
        <w:rPr>
          <w:rFonts w:ascii="Times New Roman" w:eastAsia="Times New Roman" w:hAnsi="Times New Roman" w:cs="Times New Roman"/>
        </w:rPr>
      </w:pPr>
      <w:r w:rsidRPr="009563A2">
        <w:rPr>
          <w:rFonts w:ascii="Times New Roman" w:eastAsia="Times New Roman" w:hAnsi="Times New Roman" w:cs="Times New Roman"/>
        </w:rPr>
        <w:t>Safety-related evaluation dimensions do not necessarily improve together. Stronger robustness may reduce nominal efficiency, more conservative intervention thresholds may limit autonomous flexibility, and greater human supervision may increase operational workload. For this reason, safety evaluation should explicitly consider trade-offs rather than presenting isolated improvements as universal</w:t>
      </w:r>
      <w:r>
        <w:rPr>
          <w:rFonts w:ascii="Times New Roman" w:eastAsia="Times New Roman" w:hAnsi="Times New Roman" w:cs="Times New Roman"/>
        </w:rPr>
        <w:t>ly beneficial</w:t>
      </w:r>
      <w:r w:rsidR="003677AA" w:rsidRPr="00FE1FBD">
        <w:rPr>
          <w:rFonts w:ascii="Times New Roman" w:eastAsia="Times New Roman" w:hAnsi="Times New Roman" w:cs="Times New Roman"/>
        </w:rPr>
        <w:t xml:space="preserve"> [147].</w:t>
      </w:r>
    </w:p>
    <w:p w:rsidR="00F03768" w:rsidRPr="00FE1FBD" w:rsidRDefault="00AA04D7" w:rsidP="00FE1FBD">
      <w:pPr>
        <w:spacing w:before="120" w:after="120" w:line="240" w:lineRule="auto"/>
        <w:rPr>
          <w:rFonts w:ascii="Times New Roman" w:eastAsia="Times New Roman" w:hAnsi="Times New Roman" w:cs="Times New Roman"/>
        </w:rPr>
      </w:pPr>
      <w:r w:rsidRPr="00AA04D7">
        <w:rPr>
          <w:rFonts w:ascii="Times New Roman" w:eastAsia="Times New Roman" w:hAnsi="Times New Roman" w:cs="Times New Roman"/>
        </w:rPr>
        <w:t>In practice, comparative analysis should examine how safety-oriented design choices affect operational efficiency, adaptability, interpretability, and deployment complexity. Transparent reporting of such trade-offs is especially important for power-system applications, where overly conservative AI may reduce the practical value of automation, while overly aggressive au</w:t>
      </w:r>
      <w:r>
        <w:rPr>
          <w:rFonts w:ascii="Times New Roman" w:eastAsia="Times New Roman" w:hAnsi="Times New Roman" w:cs="Times New Roman"/>
        </w:rPr>
        <w:t>tonomy may erode safety margins</w:t>
      </w:r>
      <w:r w:rsidR="003677AA" w:rsidRPr="00FE1FBD">
        <w:rPr>
          <w:rFonts w:ascii="Times New Roman" w:eastAsia="Times New Roman" w:hAnsi="Times New Roman" w:cs="Times New Roman"/>
        </w:rPr>
        <w:t xml:space="preserve"> [148].</w:t>
      </w:r>
      <w:r w:rsidR="00C84C93">
        <w:rPr>
          <w:rFonts w:ascii="Times New Roman" w:eastAsia="Times New Roman" w:hAnsi="Times New Roman" w:cs="Times New Roman"/>
        </w:rPr>
        <w:t xml:space="preserve"> </w:t>
      </w:r>
      <w:r w:rsidR="00C84C93" w:rsidRPr="00C84C93">
        <w:rPr>
          <w:rFonts w:ascii="Times New Roman" w:eastAsia="Times New Roman" w:hAnsi="Times New Roman" w:cs="Times New Roman"/>
        </w:rPr>
        <w:t>Therefore, the goal of Safe AI evaluation should not be to maximize a single metric, but to identify acceptable operating regions in which intelligence, control performance, and safety assurance remain balanced.</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 xml:space="preserve">5.8 </w:t>
      </w:r>
      <w:r w:rsidR="008F2B72" w:rsidRPr="008F2B72">
        <w:rPr>
          <w:rFonts w:ascii="Times New Roman" w:eastAsia="Times New Roman" w:hAnsi="Times New Roman" w:cs="Times New Roman"/>
          <w:b/>
          <w:bCs/>
        </w:rPr>
        <w:t>Toward More Structured and Deployment-Oriented Evaluation</w:t>
      </w:r>
    </w:p>
    <w:p w:rsidR="003677AA" w:rsidRPr="00FE1FBD" w:rsidRDefault="00EB5D54" w:rsidP="00FE1FBD">
      <w:pPr>
        <w:spacing w:before="120" w:after="120" w:line="240" w:lineRule="auto"/>
        <w:rPr>
          <w:rFonts w:ascii="Times New Roman" w:eastAsia="Times New Roman" w:hAnsi="Times New Roman" w:cs="Times New Roman"/>
        </w:rPr>
      </w:pPr>
      <w:r w:rsidRPr="00EB5D54">
        <w:rPr>
          <w:rFonts w:ascii="Times New Roman" w:eastAsia="Times New Roman" w:hAnsi="Times New Roman" w:cs="Times New Roman"/>
        </w:rPr>
        <w:t>Over the longer term, evaluation practices for Safe AI in Power CPS should move toward more structured and deployment-oriented evidence. At present, however, the field is still evolving, and no universally accepted certification framework yet exists for AI-enabled safety assurance in power-system operation. For this reason, the evaluation dimensions discussed in this section should be interpreted as a structured analytical lens rather than as finalized industry standards</w:t>
      </w:r>
      <w:r w:rsidR="003677AA" w:rsidRPr="00FE1FBD">
        <w:rPr>
          <w:rFonts w:ascii="Times New Roman" w:eastAsia="Times New Roman" w:hAnsi="Times New Roman" w:cs="Times New Roman"/>
        </w:rPr>
        <w:t xml:space="preserve"> [149].</w:t>
      </w:r>
    </w:p>
    <w:p w:rsidR="00F03768" w:rsidRPr="00FE1FBD" w:rsidRDefault="00951D05" w:rsidP="00FE1FBD">
      <w:pPr>
        <w:spacing w:before="120" w:after="120" w:line="240" w:lineRule="auto"/>
        <w:rPr>
          <w:rFonts w:ascii="Times New Roman" w:eastAsia="Times New Roman" w:hAnsi="Times New Roman" w:cs="Times New Roman"/>
        </w:rPr>
      </w:pPr>
      <w:r w:rsidRPr="00951D05">
        <w:rPr>
          <w:rFonts w:ascii="Times New Roman" w:eastAsia="Times New Roman" w:hAnsi="Times New Roman" w:cs="Times New Roman"/>
        </w:rPr>
        <w:t xml:space="preserve">Even so, they can still support more disciplined research and engineering practice. By examining reliability under uncertainty, operational consequence awareness, fallback capability, and </w:t>
      </w:r>
      <w:r w:rsidRPr="00951D05">
        <w:rPr>
          <w:rFonts w:ascii="Times New Roman" w:eastAsia="Times New Roman" w:hAnsi="Times New Roman" w:cs="Times New Roman"/>
        </w:rPr>
        <w:lastRenderedPageBreak/>
        <w:t>recovery performance in a more integrated manner, future studies can provide stronger evidence for whether AI-enabled functions are suitable for deployment in safety-critical grid environments.</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5.9 Synthesis</w:t>
      </w:r>
    </w:p>
    <w:p w:rsidR="00F03768" w:rsidRDefault="008A164E" w:rsidP="00FE1FBD">
      <w:pPr>
        <w:spacing w:before="120" w:after="120" w:line="240" w:lineRule="auto"/>
        <w:rPr>
          <w:rFonts w:ascii="Times New Roman" w:eastAsia="Times New Roman" w:hAnsi="Times New Roman" w:cs="Times New Roman"/>
        </w:rPr>
      </w:pPr>
      <w:r w:rsidRPr="008A164E">
        <w:rPr>
          <w:rFonts w:ascii="Times New Roman" w:eastAsia="Times New Roman" w:hAnsi="Times New Roman" w:cs="Times New Roman"/>
        </w:rPr>
        <w:t>Evaluating Safe AI in Power CPS requires moving beyond conventional performance reporting toward broader safety-oriented perspectives that reflect how AI behaves under uncertainty and how its failures affect the wider cyber-physical system. This section has summarized four representative evaluation dimensions: reliability under uncertainty, operational risk exposure, fallback capability, and recovery performance. These dimensions should not be interpreted as a fixed standardized metric system, but rather as a structured way to connect model-level assessment with s</w:t>
      </w:r>
      <w:r>
        <w:rPr>
          <w:rFonts w:ascii="Times New Roman" w:eastAsia="Times New Roman" w:hAnsi="Times New Roman" w:cs="Times New Roman"/>
        </w:rPr>
        <w:t>ystem-level safety implications</w:t>
      </w:r>
      <w:r w:rsidR="00FA089D" w:rsidRPr="00FE1FBD">
        <w:rPr>
          <w:rFonts w:ascii="Times New Roman" w:eastAsia="Times New Roman" w:hAnsi="Times New Roman" w:cs="Times New Roman"/>
        </w:rPr>
        <w:t xml:space="preserve"> [150]</w:t>
      </w:r>
      <w:r w:rsidR="00F03768" w:rsidRPr="00FE1FBD">
        <w:rPr>
          <w:rFonts w:ascii="Times New Roman" w:eastAsia="Times New Roman" w:hAnsi="Times New Roman" w:cs="Times New Roman"/>
        </w:rPr>
        <w:t>.</w:t>
      </w:r>
    </w:p>
    <w:p w:rsidR="008A164E" w:rsidRPr="00FE1FBD" w:rsidRDefault="008A164E" w:rsidP="00FE1FBD">
      <w:pPr>
        <w:spacing w:before="120" w:after="120" w:line="240" w:lineRule="auto"/>
        <w:rPr>
          <w:rFonts w:ascii="Times New Roman" w:eastAsia="Times New Roman" w:hAnsi="Times New Roman" w:cs="Times New Roman"/>
        </w:rPr>
      </w:pPr>
      <w:r w:rsidRPr="00B777C6">
        <w:rPr>
          <w:rFonts w:ascii="Times New Roman" w:eastAsia="Times New Roman" w:hAnsi="Times New Roman" w:cs="Times New Roman"/>
        </w:rPr>
        <w:t>From this perspective, safety evaluation becomes a bridge between AI performance and engineering trustworthiness. It helps clarify whether an AI-enabled function is merely accurate in offline studies or genuinely suitable for bounded, monitored, and recoverable operation in real Power CPS environments.</w:t>
      </w:r>
    </w:p>
    <w:p w:rsidR="00F03768" w:rsidRPr="00FE1FBD" w:rsidRDefault="00F03768" w:rsidP="00FE1FBD">
      <w:pPr>
        <w:spacing w:before="120" w:after="120" w:line="240" w:lineRule="auto"/>
        <w:outlineLvl w:val="0"/>
        <w:rPr>
          <w:rFonts w:ascii="Times New Roman" w:eastAsia="Times New Roman" w:hAnsi="Times New Roman" w:cs="Times New Roman"/>
          <w:b/>
          <w:bCs/>
          <w:kern w:val="36"/>
        </w:rPr>
      </w:pPr>
      <w:r w:rsidRPr="00FE1FBD">
        <w:rPr>
          <w:rFonts w:ascii="Times New Roman" w:eastAsia="Times New Roman" w:hAnsi="Times New Roman" w:cs="Times New Roman"/>
          <w:b/>
          <w:bCs/>
          <w:kern w:val="36"/>
        </w:rPr>
        <w:t>6. System-Level Safe AI Integration</w:t>
      </w:r>
    </w:p>
    <w:p w:rsidR="00F03768" w:rsidRPr="00FE1FBD" w:rsidRDefault="00A7074E"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The integration of Safe AI into Power Cyber-Physical Systems (Power CPS) cannot be achieved through algorithm-level robustness alone. In practical deployments, safety emerges from the coordinated interaction of sensing, communication, computation, control, protection, and human supervision. Because AI models continuously influence physical actuation through cyber–physical feedback loops, local model reliability is necessary but insufficient. What ultimately matters is whether the overall system remains stable, interpretable, and operationally bounded under uncertainty, disturbances, and adaptive model behavior. Therefore, system-level Safe AI requires holistic architectures that align data flow, decision logic, runtime monitoring, and physical protection within a unified safety envelope [151].</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6.1 Closed-Loop Intelligence and the New Safety Paradigm</w:t>
      </w:r>
    </w:p>
    <w:p w:rsidR="00A7074E" w:rsidRPr="00FE1FBD" w:rsidRDefault="00A7074E"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Traditional grid automation mainly follows a hierarchical pattern in which measurements are collected, decisions are optimized centrally, and commands are executed at the field level. The increasing deployment of AI changes this structure by embedding learning-enabled modules across multiple layers of Power CPS, from edge devices and smart inverters to energy management systems and market platforms. As a result, cyber cognition and physical actuation become tightly coupled, forming closed loops in which AI not only observes the system but also continuously shapes its future operating state [152].</w:t>
      </w:r>
    </w:p>
    <w:p w:rsidR="00F03768" w:rsidRPr="00FE1FBD" w:rsidRDefault="00A7074E"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This closed-loop intelligence improves adaptability to renewable intermittency, load variability, and contingencies, but it also changes the meaning of safety. Safety can no longer be treated as a static design requirement verified only offline; it must instead be maintained dynamically as models update, conditions drift, and actions propagate across interconnected cyber and physical layers. In this context, system-level Safe AI should be viewed as a continuous assurance paradigm that keeps learning-based actions context-aware, temporally coordinated, and compliant with system-level security limits [153].</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6.2 Control–Communication–Computation Co-Design</w:t>
      </w:r>
    </w:p>
    <w:p w:rsidR="00A7074E" w:rsidRPr="00FE1FBD" w:rsidRDefault="00A7074E"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The safety of AI-enabled Power CPS depends not only on decision quality but also on the infrastructures that support communication and computation. Latency, packet loss, time misalignment, and limited processing resources may invalidate the assumptions under which AI models were trained, thereby reducing operational safety margins. For this reason, Safe AI should be designed from a control–communication–computation co-design perspective.</w:t>
      </w:r>
    </w:p>
    <w:p w:rsidR="00A7074E" w:rsidRPr="00FE1FBD" w:rsidRDefault="00A7074E"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lastRenderedPageBreak/>
        <w:t>From the control side, AI-assisted decisions must satisfy hard constraints, such as voltage, current, frequency, and protection limits, while also balancing soft objectives such as economy and flexibility. Embedding these constraints into learning models through constrained optimization, projection mechanisms, or physics-informed methods can improve physical feasibility by design [154].</w:t>
      </w:r>
    </w:p>
    <w:p w:rsidR="00F03768" w:rsidRPr="00FE1FBD" w:rsidRDefault="00A7074E"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From the communication side, safety requires trustworthy and timely information exchange. Redundant sensing, authenticated communication, anomaly screening, and edge intelligence can reduce the risk that corrupted, delayed, or stale data mislead downstream AI modules. From the computation side, resource allocation itself becomes safety-critical: under contingencies, protection support, emergency control, and restoration functions should take priority over non-essential analytics. Together, reliable control logic, resilient communication, and dependable computation form the triadic foundation of system-level Safe AI integration [155].</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6.3 Multi-Agent Coordination under Safety Constraints</w:t>
      </w:r>
    </w:p>
    <w:p w:rsidR="00A7074E" w:rsidRPr="00FE1FBD" w:rsidRDefault="00A7074E"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As Power CPS evolve toward systems with distributed energy resources, microgrids, electric vehicle fleets, and virtual power plants, safe coordination among multiple autonomous agents becomes essential. Although decentralization improves flexibility and scalability, it also creates safety risks because locally optimal actions may conflict with system-wide stability or congestion limits.</w:t>
      </w:r>
    </w:p>
    <w:p w:rsidR="00A7074E" w:rsidRPr="00FE1FBD" w:rsidRDefault="00A7074E"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To address this issue, Safe AI incorporates shared safety constraints into collective decision-making through constrained multi-agent reinforcement learning, distributed optimization, and game-theoretic coordination. Centralized training with decentralized execution is particularly useful because global safety rules can be learned offline and enforced during local online operation. Another promising direction is distributed safety certificates or barrier-based coordination, where local safety guarantees collectively preserve a globally safe operating region [156].</w:t>
      </w:r>
    </w:p>
    <w:p w:rsidR="00F03768" w:rsidRPr="00FE1FBD" w:rsidRDefault="00A7074E"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In addition, coordination safety requires transparency. In market-based dispatch or peer-to-peer trading environments, operators should be able to understand negotiation outcomes and identify potentially manipulative or unsafe agent behaviors. Therefore, explainable and auditable coordination mechanisms are also important components of multi-agent Safe AI.</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6.4 Safety Interfaces Between AI and Physical Protection Systems</w:t>
      </w:r>
    </w:p>
    <w:p w:rsidR="00BE683E" w:rsidRPr="00FE1FBD" w:rsidRDefault="00BE683E"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A key challenge in system-level Safe AI integration is reconciling the probabilistic and adaptive nature of AI with the deterministic logic of physical protection systems. Relays, breakers, and emergency protections are designed to provide hard guarantees, whereas AI outputs are typically confidence-based and context-dependent. A safe interface between these layers must therefore ensure that AI recommendations are translated into operationally meaningful actions without ambiguity.</w:t>
      </w:r>
    </w:p>
    <w:p w:rsidR="00BE683E" w:rsidRPr="00FE1FBD" w:rsidRDefault="00BE683E"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A practical solution is a dual-layer architecture. The inner layer consists of conventional protection and verified control mechanisms that preserve deterministic safety guarantees, while the outer AI layer performs predictive, advisory, or optimization-oriented tasks. AI may forecast instability, identify fault likelihood, or recommend corrective actions, but final execution remains subject to deterministic supervision. Under abnormal conditions, authority can safely revert to conventional logic.</w:t>
      </w:r>
    </w:p>
    <w:p w:rsidR="00F03768" w:rsidRPr="00FE1FBD" w:rsidRDefault="00BE683E"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Hybrid AI–protection schemes further refine this principle. For example, lightweight neural classifiers may pre-screen transient events or support relay intelligence, but final trip commands are still validated by deterministic rules. Similarly, AI-based fault localization can accelerate diagnosis without overriding established protection chains. In safety-critical grid operation, AI </w:t>
      </w:r>
      <w:r w:rsidRPr="00FE1FBD">
        <w:rPr>
          <w:rFonts w:ascii="Times New Roman" w:eastAsia="Times New Roman" w:hAnsi="Times New Roman" w:cs="Times New Roman"/>
        </w:rPr>
        <w:lastRenderedPageBreak/>
        <w:t>should enhance foresight and adaptability rather than replace certified protection mechanisms [157].</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6.5 Digital Twins and Real-Time Safety Supervision</w:t>
      </w:r>
    </w:p>
    <w:p w:rsidR="00B73DC8" w:rsidRPr="00FE1FBD" w:rsidRDefault="00B73DC8"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Digital twins provide an important infrastructure for system-level Safe AI because they create a continuously updated virtual representation of the physical grid and its cyber interactions. By synchronizing models with streaming data, digital twins allow AI algorithms to be tested, calibrated, and supervised throughout their life cycle.</w:t>
      </w:r>
    </w:p>
    <w:p w:rsidR="00B73DC8" w:rsidRPr="00FE1FBD" w:rsidRDefault="00B73DC8"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Before deployment, digital twins enable candidate AI models to be evaluated under rare contingencies, extreme operating conditions, communication degradation, and uncertain scenarios that are difficult or unsafe to reproduce in the field. Reinforcement learning policies, adaptive controllers, and restoration strategies can be screened while monitoring operational limits such as voltage bounds, thermal margins, and frequency security constraints, thereby filtering unsafe policies before live deployment [158].</w:t>
      </w:r>
    </w:p>
    <w:p w:rsidR="00F03768" w:rsidRPr="00FE1FBD" w:rsidRDefault="00B73DC8"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After deployment, digital twins support runtime assurance by comparing predicted and observed behaviors. Deviations may indicate model drift, sensing inconsistency, actuator malfunction, or emerging cyber–physical anomalies, which can then trigger alarms, conservative fallback modes, retraining, or human intervention. In this way, digital twins convert safety assurance from one-time certification into a continuous monitoring process.</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6.6 Toward Holistic Safety Governance</w:t>
      </w:r>
    </w:p>
    <w:p w:rsidR="002C76E3" w:rsidRPr="00FE1FBD" w:rsidRDefault="002C76E3"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System-level Safe AI integration also depends on organizational and regulatory governance. Even a technically robust model may become unsafe if it is retrained without validation, deployed without traceability, or used by operators who do not understand its decision boundaries. Accordingly, Safe AI governance should define responsibilities across developers, utilities, operators, vendors, and regulators, while embedding safety requirements into the full model life cycle [159].</w:t>
      </w:r>
    </w:p>
    <w:p w:rsidR="00F03768" w:rsidRPr="00FE1FBD" w:rsidRDefault="002C76E3"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At the operational level, governance should specify procedures for model qualification, update approval, rollback, alarm handling, and emergency override. Operators should have access not only to AI outputs, but also to interpretable confidence information, documented assumptions, and auditable logs. At the policy level, interoperability standards are needed to regulate how safety-related information—such as uncertainty estimates, verification status, and fallback conditions—is exchanged across heterogeneous platforms. Over time, broader progress will also depend on shared learning through benchmark development, anonymized incident reporting, and cross-institutional best-practice exchange [160].</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6.7 Synthesis</w:t>
      </w:r>
    </w:p>
    <w:p w:rsidR="00DC0746" w:rsidRPr="00FE1FBD" w:rsidRDefault="00DC0746"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System-level Safe AI integration in Power CPS is fundamentally a layered assurance problem rather than a purely algorithmic one. Safe deployment requires coordinated design across control, communication, and computation infrastructures; safety-aware coordination among distributed agents; carefully engineered interfaces between AI and deterministic protection; continuous supervision through digital twins and runtime monitoring; and governance mechanisms that sustain traceability, accountability, and disciplined model evolution.</w:t>
      </w:r>
    </w:p>
    <w:p w:rsidR="00F03768" w:rsidRPr="00FE1FBD" w:rsidRDefault="00DC0746"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From this perspective, safety is not appended to AI after deployment, but maintained continuously through interaction among intelligent models, physical processes, operational rules, and human supervision. The remaining challenges—such as scalable validation, limited safety benchmarks, accountability under autonomy, and certifiable deployment in distributed environments—motivate the next section</w:t>
      </w:r>
      <w:r w:rsidR="00F03768" w:rsidRPr="00FE1FBD">
        <w:rPr>
          <w:rFonts w:ascii="Times New Roman" w:eastAsia="Times New Roman" w:hAnsi="Times New Roman" w:cs="Times New Roman"/>
        </w:rPr>
        <w:t>.</w:t>
      </w:r>
    </w:p>
    <w:p w:rsidR="00F03768" w:rsidRPr="00FE1FBD" w:rsidRDefault="00F03768" w:rsidP="00FE1FBD">
      <w:pPr>
        <w:spacing w:before="120" w:after="120" w:line="240" w:lineRule="auto"/>
        <w:outlineLvl w:val="0"/>
        <w:rPr>
          <w:rFonts w:ascii="Times New Roman" w:eastAsia="Times New Roman" w:hAnsi="Times New Roman" w:cs="Times New Roman"/>
          <w:b/>
          <w:bCs/>
          <w:kern w:val="36"/>
        </w:rPr>
      </w:pPr>
      <w:r w:rsidRPr="00FE1FBD">
        <w:rPr>
          <w:rFonts w:ascii="Times New Roman" w:eastAsia="Times New Roman" w:hAnsi="Times New Roman" w:cs="Times New Roman"/>
          <w:b/>
          <w:bCs/>
          <w:kern w:val="36"/>
        </w:rPr>
        <w:t>7. Challenges and Open Problems</w:t>
      </w:r>
    </w:p>
    <w:p w:rsidR="00F03768" w:rsidRPr="00FE1FBD" w:rsidRDefault="00BC55E8" w:rsidP="00FE1FBD">
      <w:pPr>
        <w:spacing w:before="120" w:after="120" w:line="240" w:lineRule="auto"/>
        <w:rPr>
          <w:rFonts w:ascii="Times New Roman" w:eastAsia="Times New Roman" w:hAnsi="Times New Roman" w:cs="Times New Roman"/>
        </w:rPr>
      </w:pPr>
      <w:r w:rsidRPr="00BC55E8">
        <w:rPr>
          <w:rFonts w:ascii="Times New Roman" w:eastAsia="Times New Roman" w:hAnsi="Times New Roman" w:cs="Times New Roman"/>
        </w:rPr>
        <w:lastRenderedPageBreak/>
        <w:t>Although the preceding sections have outlined the conceptual foundations and technical pathways of Safe AI for Power CPS, large-scale and safety-assured deployment remains far from mature. The key barriers extend beyond individual algorithms and involve data availability, verification scalability, distributed coordination, human accountability, and institutional readiness. These unresolved issues reflect a central tension of intelligent power infrastructures: the more adaptive and autonomous the system becomes, the harder it is to validate, govern, and certify its safe behavior in real operation</w:t>
      </w:r>
      <w:r w:rsidR="00B95AA3" w:rsidRPr="00FE1FBD">
        <w:rPr>
          <w:rFonts w:ascii="Times New Roman" w:eastAsia="Times New Roman" w:hAnsi="Times New Roman" w:cs="Times New Roman"/>
        </w:rPr>
        <w:t xml:space="preserve"> [161]</w:t>
      </w:r>
      <w:r w:rsidR="00F03768" w:rsidRPr="00FE1FBD">
        <w:rPr>
          <w:rFonts w:ascii="Times New Roman" w:eastAsia="Times New Roman" w:hAnsi="Times New Roman" w:cs="Times New Roman"/>
        </w:rPr>
        <w:t>.</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7.1 Data Scarcity, Quality, and Representativeness</w:t>
      </w:r>
    </w:p>
    <w:p w:rsidR="00B95AA3" w:rsidRPr="00FE1FBD" w:rsidRDefault="00606516" w:rsidP="00FE1FBD">
      <w:pPr>
        <w:spacing w:before="120" w:after="120" w:line="240" w:lineRule="auto"/>
        <w:rPr>
          <w:rFonts w:ascii="Times New Roman" w:eastAsia="Times New Roman" w:hAnsi="Times New Roman" w:cs="Times New Roman"/>
        </w:rPr>
      </w:pPr>
      <w:r w:rsidRPr="00606516">
        <w:rPr>
          <w:rFonts w:ascii="Times New Roman" w:eastAsia="Times New Roman" w:hAnsi="Times New Roman" w:cs="Times New Roman"/>
        </w:rPr>
        <w:t>Safe AI depends fundamentally on data, yet high-quality datasets in the power domain remain limited, especially for rare but safety-critical events such as cascading failures, extreme weather disturbances, and coordinated cyberattacks. Most operational datasets are dominated by normal conditions, leading to models that perform well during routine operation but generalize poorly under anomalies and emergencies. In addition, data collected across utilities or regions often differ in sampling rates, calibration standards, labeling practices, and privacy constraints, which hinders transferable model development and cross-system validation</w:t>
      </w:r>
      <w:r w:rsidR="00B95AA3" w:rsidRPr="00FE1FBD">
        <w:rPr>
          <w:rFonts w:ascii="Times New Roman" w:eastAsia="Times New Roman" w:hAnsi="Times New Roman" w:cs="Times New Roman"/>
        </w:rPr>
        <w:t xml:space="preserve"> [162].</w:t>
      </w:r>
    </w:p>
    <w:p w:rsidR="00F03768" w:rsidRPr="00FE1FBD" w:rsidRDefault="00ED3D2D" w:rsidP="00FE1FBD">
      <w:pPr>
        <w:spacing w:before="120" w:after="120" w:line="240" w:lineRule="auto"/>
        <w:rPr>
          <w:rFonts w:ascii="Times New Roman" w:eastAsia="Times New Roman" w:hAnsi="Times New Roman" w:cs="Times New Roman"/>
        </w:rPr>
      </w:pPr>
      <w:r w:rsidRPr="00ED3D2D">
        <w:rPr>
          <w:rFonts w:ascii="Times New Roman" w:eastAsia="Times New Roman" w:hAnsi="Times New Roman" w:cs="Times New Roman"/>
        </w:rPr>
        <w:t>Simulation platforms and digital twins can partially alleviate data scarcity by generating synthetic scenarios, but they also introduce the simulation-to-reality gap. If synthetic samples do not adequately capture operational uncertainty, topology variation, or measurement noise, models trained on them may develop misleading confidence. A more practical direction is therefore to build hybrid data ecosystems that combine real operational records with validated synthetic scenarios, supported by continuous data auditing, labeling, and quality control.</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7.2 Safety Validation and Scalable Verification</w:t>
      </w:r>
    </w:p>
    <w:p w:rsidR="0032349D" w:rsidRPr="00FE1FBD" w:rsidRDefault="0032349D"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Verification remains one of the main bottlenecks in Safe AI. Formal guarantees become increasingly difficult as model size, system dimensionality, and uncertainty grow. Techniques such as reachability analysis, symbolic bounding, and formal certification are valuable for small-scale systems, but their direct application to large, nonlinear, and highly dynamic Power CPS is often computationally intractable [163].</w:t>
      </w:r>
    </w:p>
    <w:p w:rsidR="00F03768" w:rsidRPr="00FE1FBD" w:rsidRDefault="0032349D"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At the same time, current validation practices still rely heavily on offline testing using historical data or limited simulation cases. Such procedures are insufficient for systems whose topology, operating conditions, and threat surfaces evolve over time. As a result, real-time or adaptive safety validation remains an open problem. Hybrid approaches that combine formal verification, statistical assurance, and runtime monitoring offer a promising path forward. In particular, lightweight online safety monitors and verified fallback mechanisms may provide practical protection even when complete formal proof is unattainable. Developing scalable validation schemes that operate under real-world latency and resource constraints remains a core research challenge [164].</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7.3 Multi-Agent Coordination and Emergent Risk</w:t>
      </w:r>
    </w:p>
    <w:p w:rsidR="00C713CC" w:rsidRPr="00FE1FBD" w:rsidRDefault="00C713CC"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The shift toward decentralized and distributed intelligence introduces safety risks that are emergent rather than explicitly engineered. In multi-agent or federated settings, each controller updates its behavior based on local observations and partial communication. Although this structure improves flexibility and scalability, it may also create collective instability, oscillatory actions, or unsafe global interactions when local policies fail to align with network-wide safety requirements [165].</w:t>
      </w:r>
    </w:p>
    <w:p w:rsidR="00F03768" w:rsidRPr="00FE1FBD" w:rsidRDefault="00C713CC"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The main difficulty lies in reconciling incomplete local information with global operational constraints. Safe convergence of distributed learning therefore requires tighter integration of control-theoretic stability analysis, distributed optimization, and game-theoretic coordination. </w:t>
      </w:r>
      <w:r w:rsidRPr="00FE1FBD">
        <w:rPr>
          <w:rFonts w:ascii="Times New Roman" w:eastAsia="Times New Roman" w:hAnsi="Times New Roman" w:cs="Times New Roman"/>
        </w:rPr>
        <w:lastRenderedPageBreak/>
        <w:t>Another challenge arises from malicious, faulty, or compromised agents. In federated settings, poisoned gradients or manipulated local updates may degrade the global model. Existing defenses, including Byzantine-resilient aggregation and anomaly screening, are useful but still limited against adaptive attacks. More robust decentralized safety will require advances in secure aggregation, trust modeling, and provenance-aware coordination mechanisms [166].</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7.4 Human Trust, Transparency, and Accountability</w:t>
      </w:r>
    </w:p>
    <w:p w:rsidR="00196CC0" w:rsidRPr="00FE1FBD" w:rsidRDefault="00196CC0"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Despite increasing automation, safe deployment of AI in power systems still depends heavily on human trust and oversight. However, many AI models—especially deep neural architectures—remain difficult for operators and regulators to interpret. This opacity complicates operational acceptance and raises accountability questions when AI-assisted decisions contribute to service disruption or cascading failures.</w:t>
      </w:r>
    </w:p>
    <w:p w:rsidR="00F03768" w:rsidRPr="00FE1FBD" w:rsidRDefault="00196CC0" w:rsidP="00FE1FBD">
      <w:pPr>
        <w:spacing w:before="120" w:after="120" w:line="240" w:lineRule="auto"/>
        <w:rPr>
          <w:rFonts w:ascii="Times New Roman" w:eastAsia="Times New Roman" w:hAnsi="Times New Roman" w:cs="Times New Roman"/>
        </w:rPr>
      </w:pPr>
      <w:r w:rsidRPr="00FE1FBD">
        <w:rPr>
          <w:rFonts w:ascii="Times New Roman" w:eastAsia="Times New Roman" w:hAnsi="Times New Roman" w:cs="Times New Roman"/>
        </w:rPr>
        <w:t>For power-system applications, transparency should move beyond generic explainability and toward domain-specific interpretability. Operators need explanations expressed in familiar operational terms, such as voltage margins, contingency risks, or stability indicators, rather than abstract feature-importance scores [167]. In parallel, accountability mechanisms should define who is responsible for model development, validation, deployment, override, and post-event analysis. Audit trails, decision logs, and confidence reporting can support this process, but integrating them into time-critical operations without overwhelming human operators remains an open design challenge.</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7.5 Safe Autonomy Transition</w:t>
      </w:r>
    </w:p>
    <w:p w:rsidR="0025419A" w:rsidRPr="0025419A" w:rsidRDefault="0025419A" w:rsidP="0025419A">
      <w:pPr>
        <w:spacing w:before="120" w:after="120" w:line="240" w:lineRule="auto"/>
        <w:rPr>
          <w:rFonts w:ascii="Times New Roman" w:eastAsia="Times New Roman" w:hAnsi="Times New Roman" w:cs="Times New Roman"/>
        </w:rPr>
      </w:pPr>
      <w:r w:rsidRPr="0025419A">
        <w:rPr>
          <w:rFonts w:ascii="Times New Roman" w:eastAsia="Times New Roman" w:hAnsi="Times New Roman" w:cs="Times New Roman"/>
        </w:rPr>
        <w:t>A long-term objective of Safe AI is to enable systems that are not only adaptive, but also self-monitoring, self-correcting, and verifiably safe. Achieving this vision requires balancing autonomy and verifiability, which remains difficult because highly adaptive learning systems are often opaque, whereas fully rule-based systems are easier to certify but less flexible.</w:t>
      </w:r>
    </w:p>
    <w:p w:rsidR="00F03768" w:rsidRPr="00FE1FBD" w:rsidRDefault="0025419A" w:rsidP="0025419A">
      <w:pPr>
        <w:spacing w:before="120" w:after="120" w:line="240" w:lineRule="auto"/>
        <w:rPr>
          <w:rFonts w:ascii="Times New Roman" w:eastAsia="Times New Roman" w:hAnsi="Times New Roman" w:cs="Times New Roman"/>
        </w:rPr>
      </w:pPr>
      <w:r w:rsidRPr="0025419A">
        <w:rPr>
          <w:rFonts w:ascii="Times New Roman" w:eastAsia="Times New Roman" w:hAnsi="Times New Roman" w:cs="Times New Roman"/>
        </w:rPr>
        <w:t>One promising direction is hybrid autonomy, where symbolic or rule-based components encode physical laws and safety constraints, while learning-based components provide perception, adaptation, and predictive capability. Such architectures may improve interpretability and allow the system to reason explicitly about uncertainty and safe operating boundaries. Nevertheless, implementing and certifying hybrid autonomy at the scale of real power grids remains a major open problem, requiring progress in compositional verification, model abstraction, and adaptive certification mechanisms.</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7.6 Institutional and Standardization Gaps</w:t>
      </w:r>
    </w:p>
    <w:p w:rsidR="00237105" w:rsidRPr="00FE1FBD" w:rsidRDefault="00C56CD5" w:rsidP="00FE1FBD">
      <w:pPr>
        <w:spacing w:before="120" w:after="120" w:line="240" w:lineRule="auto"/>
        <w:rPr>
          <w:rFonts w:ascii="Times New Roman" w:eastAsia="Times New Roman" w:hAnsi="Times New Roman" w:cs="Times New Roman"/>
        </w:rPr>
      </w:pPr>
      <w:r w:rsidRPr="00C56CD5">
        <w:rPr>
          <w:rFonts w:ascii="Times New Roman" w:eastAsia="Times New Roman" w:hAnsi="Times New Roman" w:cs="Times New Roman"/>
        </w:rPr>
        <w:t>Even if technical methods continue to improve, deployment will remain limited without stronger institutional and regulatory support. At present, the governance landscape for AI in energy systems is fragmented. Existing standards address communication, interoperability, protection, cybersecurity, and privacy, but provide little direct guidance on learning-enabled control, runtime assurance, or AI safety certification</w:t>
      </w:r>
      <w:r w:rsidR="00237105" w:rsidRPr="00FE1FBD">
        <w:rPr>
          <w:rFonts w:ascii="Times New Roman" w:eastAsia="Times New Roman" w:hAnsi="Times New Roman" w:cs="Times New Roman"/>
        </w:rPr>
        <w:t xml:space="preserve"> [168].</w:t>
      </w:r>
    </w:p>
    <w:p w:rsidR="00F03768" w:rsidRPr="00FE1FBD" w:rsidRDefault="00C56CD5" w:rsidP="00FE1FBD">
      <w:pPr>
        <w:spacing w:before="120" w:after="120" w:line="240" w:lineRule="auto"/>
        <w:rPr>
          <w:rFonts w:ascii="Times New Roman" w:eastAsia="Times New Roman" w:hAnsi="Times New Roman" w:cs="Times New Roman"/>
        </w:rPr>
      </w:pPr>
      <w:r w:rsidRPr="00C56CD5">
        <w:rPr>
          <w:rFonts w:ascii="Times New Roman" w:eastAsia="Times New Roman" w:hAnsi="Times New Roman" w:cs="Times New Roman"/>
        </w:rPr>
        <w:t xml:space="preserve">This gap highlights the need for domain-specific AI assurance standards tailored to the operational characteristics of Power CPS. Such standards should define risk classes, validation procedures, reporting requirements, and fallback expectations for different levels of AI-enabled functionality. Institutional learning is equally important. AI-related incidents and near-misses should be documented through anonymized reporting mechanisms so that utilities, </w:t>
      </w:r>
      <w:bookmarkStart w:id="3" w:name="_GoBack"/>
      <w:bookmarkEnd w:id="3"/>
      <w:r w:rsidRPr="00C56CD5">
        <w:rPr>
          <w:rFonts w:ascii="Times New Roman" w:eastAsia="Times New Roman" w:hAnsi="Times New Roman" w:cs="Times New Roman"/>
        </w:rPr>
        <w:t>and regulators can learn collectively rather than repeating similar failures across isolated deployments</w:t>
      </w:r>
      <w:r w:rsidR="00237105" w:rsidRPr="00FE1FBD">
        <w:rPr>
          <w:rFonts w:ascii="Times New Roman" w:eastAsia="Times New Roman" w:hAnsi="Times New Roman" w:cs="Times New Roman"/>
        </w:rPr>
        <w:t xml:space="preserve"> [169].</w:t>
      </w:r>
    </w:p>
    <w:p w:rsidR="00F03768" w:rsidRPr="00FE1FBD" w:rsidRDefault="00F03768" w:rsidP="00FE1FBD">
      <w:pPr>
        <w:spacing w:before="120" w:after="120" w:line="240" w:lineRule="auto"/>
        <w:outlineLvl w:val="2"/>
        <w:rPr>
          <w:rFonts w:ascii="Times New Roman" w:eastAsia="Times New Roman" w:hAnsi="Times New Roman" w:cs="Times New Roman"/>
          <w:b/>
          <w:bCs/>
        </w:rPr>
      </w:pPr>
      <w:r w:rsidRPr="00FE1FBD">
        <w:rPr>
          <w:rFonts w:ascii="Times New Roman" w:eastAsia="Times New Roman" w:hAnsi="Times New Roman" w:cs="Times New Roman"/>
          <w:b/>
          <w:bCs/>
        </w:rPr>
        <w:t>7.7 Synthesis</w:t>
      </w:r>
    </w:p>
    <w:p w:rsidR="00CB2657" w:rsidRPr="00CB2657" w:rsidRDefault="00CB2657" w:rsidP="00CB2657">
      <w:pPr>
        <w:spacing w:before="120" w:after="120" w:line="240" w:lineRule="auto"/>
        <w:rPr>
          <w:rFonts w:ascii="Times New Roman" w:eastAsia="Times New Roman" w:hAnsi="Times New Roman" w:cs="Times New Roman"/>
        </w:rPr>
      </w:pPr>
      <w:r w:rsidRPr="00CB2657">
        <w:rPr>
          <w:rFonts w:ascii="Times New Roman" w:eastAsia="Times New Roman" w:hAnsi="Times New Roman" w:cs="Times New Roman"/>
        </w:rPr>
        <w:t xml:space="preserve">The main open problems of Safe AI in Power CPS stem from a common difficulty: intelligent systems can adapt faster than existing assurance mechanisms can verify them. Data limitations </w:t>
      </w:r>
      <w:r w:rsidRPr="00CB2657">
        <w:rPr>
          <w:rFonts w:ascii="Times New Roman" w:eastAsia="Times New Roman" w:hAnsi="Times New Roman" w:cs="Times New Roman"/>
        </w:rPr>
        <w:lastRenderedPageBreak/>
        <w:t>weaken empirical robustness, model complexity constrains formal verification, distributed intelligence introduces emergent risk, and accountability frameworks remain underdeveloped. Addressing these issues will require a coordinated research agenda that combines trustworthy data infrastructures, scalable hybrid verification, interpretable human-centered design, and domain-specific regulatory support.</w:t>
      </w:r>
    </w:p>
    <w:p w:rsidR="00F03768" w:rsidRPr="00FE1FBD" w:rsidRDefault="00CB2657" w:rsidP="00CB2657">
      <w:pPr>
        <w:spacing w:before="120" w:after="120" w:line="240" w:lineRule="auto"/>
        <w:rPr>
          <w:rFonts w:ascii="Times New Roman" w:eastAsia="Times New Roman" w:hAnsi="Times New Roman" w:cs="Times New Roman"/>
        </w:rPr>
      </w:pPr>
      <w:r w:rsidRPr="00CB2657">
        <w:rPr>
          <w:rFonts w:ascii="Times New Roman" w:eastAsia="Times New Roman" w:hAnsi="Times New Roman" w:cs="Times New Roman"/>
        </w:rPr>
        <w:t>Future progress is likely to depend on shared testbeds, benchmark scenarios, runtime assurance mechanisms, and certification frameworks that evolve with both the grid and the AI models deployed within it. Only through such interdisciplinary efforts can Safe AI move from conceptual promise to dependable operational practice in next-generation power systems</w:t>
      </w:r>
      <w:r w:rsidR="0041794A" w:rsidRPr="00FE1FBD">
        <w:rPr>
          <w:rFonts w:ascii="Times New Roman" w:eastAsia="Times New Roman" w:hAnsi="Times New Roman" w:cs="Times New Roman"/>
        </w:rPr>
        <w:t xml:space="preserve"> [170].</w:t>
      </w:r>
    </w:p>
    <w:p w:rsidR="00F03768" w:rsidRPr="00FE1FBD" w:rsidRDefault="00F03768" w:rsidP="00FE1FBD">
      <w:pPr>
        <w:spacing w:before="120" w:after="120" w:line="240" w:lineRule="auto"/>
        <w:outlineLvl w:val="0"/>
        <w:rPr>
          <w:rFonts w:ascii="Times New Roman" w:eastAsia="Times New Roman" w:hAnsi="Times New Roman" w:cs="Times New Roman"/>
          <w:b/>
          <w:bCs/>
          <w:kern w:val="36"/>
        </w:rPr>
      </w:pPr>
      <w:r w:rsidRPr="00FE1FBD">
        <w:rPr>
          <w:rFonts w:ascii="Times New Roman" w:eastAsia="Times New Roman" w:hAnsi="Times New Roman" w:cs="Times New Roman"/>
          <w:b/>
          <w:bCs/>
          <w:kern w:val="36"/>
        </w:rPr>
        <w:t xml:space="preserve">8. </w:t>
      </w:r>
      <w:r w:rsidR="00D60CC8" w:rsidRPr="00FE1FBD">
        <w:rPr>
          <w:rFonts w:ascii="Times New Roman" w:eastAsia="Times New Roman" w:hAnsi="Times New Roman" w:cs="Times New Roman"/>
          <w:b/>
          <w:bCs/>
          <w:kern w:val="36"/>
        </w:rPr>
        <w:t>Conclusion and Future Outlook</w:t>
      </w:r>
    </w:p>
    <w:p w:rsidR="009B1EFF" w:rsidRPr="009B1EFF" w:rsidRDefault="009B1EFF" w:rsidP="009B1EFF">
      <w:pPr>
        <w:spacing w:before="120" w:after="120" w:line="240" w:lineRule="auto"/>
        <w:rPr>
          <w:rFonts w:ascii="Times New Roman" w:eastAsia="Times New Roman" w:hAnsi="Times New Roman" w:cs="Times New Roman"/>
        </w:rPr>
      </w:pPr>
      <w:r w:rsidRPr="009B1EFF">
        <w:rPr>
          <w:rFonts w:ascii="Times New Roman" w:eastAsia="Times New Roman" w:hAnsi="Times New Roman" w:cs="Times New Roman"/>
        </w:rPr>
        <w:t>AI is becoming part of the sensing, decision-making, and control layers of modern Power CPS. This creates new opportunities for forecasting, stability assessment, cyber-attack detection, distributed control, and restoration support, but it also introduces safety risks that cannot be captured by offline accuracy alone. This review examined AI safety assurance from a power-system operational perspective, emphasizing the interaction among learned models, grid physics, communication infrastructures, runtime monitoring, fallback logic, and human supervision.</w:t>
      </w:r>
    </w:p>
    <w:p w:rsidR="00F03768" w:rsidRPr="00FE1FBD" w:rsidRDefault="009B1EFF" w:rsidP="009B1EFF">
      <w:pPr>
        <w:spacing w:before="120" w:after="120" w:line="240" w:lineRule="auto"/>
        <w:rPr>
          <w:rFonts w:ascii="Times New Roman" w:eastAsia="Times New Roman" w:hAnsi="Times New Roman" w:cs="Times New Roman"/>
        </w:rPr>
      </w:pPr>
      <w:r w:rsidRPr="009B1EFF">
        <w:rPr>
          <w:rFonts w:ascii="Times New Roman" w:eastAsia="Times New Roman" w:hAnsi="Times New Roman" w:cs="Times New Roman"/>
        </w:rPr>
        <w:t>The review highlights three main messages. First, AI safety in Power CPS should be treated as a deployment problem, not merely as a model-development problem. Second, safety evidence should connect AI errors to power-system consequences such as frequency deviation, voltage violation, delayed detection, protection risk, and recovery performance. Third, practical deployment requires runtime monitoring, conservative fallback, digital-twin or co-simulation validation, and auditable human-in-the-loop procedures. Future research should focus on power-system-specific benchmarks, scalable verification, safety-aware distributed learning, and certification-oriented engineering processes. Only with such evidence can AI strengthen, rather than unintentionally weaken, the reliability and resilience of intelligent power systems.</w:t>
      </w:r>
    </w:p>
    <w:p w:rsidR="00B16A18" w:rsidRPr="00FE1FBD" w:rsidRDefault="00B16A18" w:rsidP="00FE1FBD">
      <w:pPr>
        <w:spacing w:before="120" w:after="120" w:line="240" w:lineRule="auto"/>
        <w:rPr>
          <w:rFonts w:ascii="Times New Roman" w:eastAsia="Times New Roman" w:hAnsi="Times New Roman" w:cs="Times New Roman"/>
          <w:b/>
        </w:rPr>
      </w:pPr>
      <w:r w:rsidRPr="00FE1FBD">
        <w:rPr>
          <w:rFonts w:ascii="Times New Roman" w:eastAsia="Times New Roman" w:hAnsi="Times New Roman" w:cs="Times New Roman"/>
          <w:b/>
        </w:rPr>
        <w:t xml:space="preserve">Ethical Approval: </w:t>
      </w:r>
      <w:r w:rsidRPr="00FE1FBD">
        <w:rPr>
          <w:rFonts w:ascii="Times New Roman" w:eastAsia="Times New Roman" w:hAnsi="Times New Roman" w:cs="Times New Roman"/>
        </w:rPr>
        <w:t>Not applicable. This study does not involve human participants, animals, or clinical data.</w:t>
      </w:r>
    </w:p>
    <w:p w:rsidR="00B16A18" w:rsidRPr="00FE1FBD" w:rsidRDefault="00B16A18" w:rsidP="00FE1FBD">
      <w:pPr>
        <w:spacing w:before="120" w:after="120" w:line="240" w:lineRule="auto"/>
        <w:rPr>
          <w:rFonts w:ascii="Times New Roman" w:eastAsia="Times New Roman" w:hAnsi="Times New Roman" w:cs="Times New Roman"/>
          <w:b/>
        </w:rPr>
      </w:pPr>
      <w:r w:rsidRPr="00FE1FBD">
        <w:rPr>
          <w:rFonts w:ascii="Times New Roman" w:eastAsia="Times New Roman" w:hAnsi="Times New Roman" w:cs="Times New Roman"/>
          <w:b/>
        </w:rPr>
        <w:t xml:space="preserve">Data Availability: </w:t>
      </w:r>
      <w:r w:rsidRPr="00FE1FBD">
        <w:rPr>
          <w:rFonts w:ascii="Times New Roman" w:eastAsia="Times New Roman" w:hAnsi="Times New Roman" w:cs="Times New Roman"/>
        </w:rPr>
        <w:t>Not applicable. No new data were created or analyzed in this study.</w:t>
      </w:r>
    </w:p>
    <w:p w:rsidR="000316AB" w:rsidRPr="00FE1FBD" w:rsidRDefault="000316AB" w:rsidP="00FE1FBD">
      <w:pPr>
        <w:spacing w:before="120" w:after="120" w:line="240" w:lineRule="auto"/>
      </w:pPr>
      <w:r w:rsidRPr="00FE1FBD">
        <w:rPr>
          <w:rFonts w:ascii="Times New Roman" w:eastAsia="Times New Roman" w:hAnsi="Times New Roman" w:cs="Times New Roman"/>
          <w:b/>
        </w:rPr>
        <w:t>Conflicts of Interest</w:t>
      </w:r>
      <w:r w:rsidRPr="00FE1FBD">
        <w:rPr>
          <w:rFonts w:ascii="Times New Roman" w:eastAsia="Times New Roman" w:hAnsi="Times New Roman" w:cs="Times New Roman"/>
          <w:b/>
          <w:bCs/>
        </w:rPr>
        <w:t>:</w:t>
      </w:r>
      <w:r w:rsidRPr="00FE1FBD">
        <w:t xml:space="preserve"> </w:t>
      </w:r>
      <w:r w:rsidRPr="00FE1FBD">
        <w:rPr>
          <w:rFonts w:ascii="Times New Roman" w:eastAsia="Times New Roman" w:hAnsi="Times New Roman" w:cs="Times New Roman"/>
        </w:rPr>
        <w:t>The authors declare no conflicts of interest.</w:t>
      </w:r>
    </w:p>
    <w:p w:rsidR="000316AB" w:rsidRPr="00FE1FBD" w:rsidRDefault="000316AB" w:rsidP="00FE1FBD">
      <w:pPr>
        <w:spacing w:before="120" w:after="120" w:line="240" w:lineRule="auto"/>
        <w:rPr>
          <w:rFonts w:ascii="Times New Roman" w:eastAsia="Times New Roman" w:hAnsi="Times New Roman" w:cs="Times New Roman"/>
        </w:rPr>
      </w:pPr>
      <w:bookmarkStart w:id="4" w:name="OLE_LINK12"/>
      <w:r w:rsidRPr="00FE1FBD">
        <w:rPr>
          <w:rFonts w:ascii="Times New Roman" w:eastAsia="Times New Roman" w:hAnsi="Times New Roman" w:cs="Times New Roman"/>
          <w:b/>
          <w:bCs/>
        </w:rPr>
        <w:t>Use of AI Tools</w:t>
      </w:r>
      <w:r w:rsidRPr="00FE1FBD">
        <w:rPr>
          <w:rFonts w:ascii="Times New Roman" w:eastAsia="Times New Roman" w:hAnsi="Times New Roman" w:cs="Times New Roman"/>
        </w:rPr>
        <w:t xml:space="preserve">: </w:t>
      </w:r>
      <w:r w:rsidR="007359A6" w:rsidRPr="007359A6">
        <w:rPr>
          <w:rFonts w:ascii="Times New Roman" w:eastAsia="Times New Roman" w:hAnsi="Times New Roman" w:cs="Times New Roman"/>
        </w:rPr>
        <w:t>AI-assisted tools (e.g., large language models) were used solely for language polishing and editorial assistance. All contents were carefully checked and verified by the authors.</w:t>
      </w:r>
    </w:p>
    <w:bookmarkEnd w:id="4"/>
    <w:p w:rsidR="00940897" w:rsidRPr="00FE1FBD" w:rsidRDefault="00940897" w:rsidP="00A431A7">
      <w:pPr>
        <w:spacing w:before="100" w:beforeAutospacing="1" w:after="100" w:afterAutospacing="1" w:line="240" w:lineRule="auto"/>
        <w:jc w:val="center"/>
        <w:rPr>
          <w:rFonts w:ascii="Times New Roman" w:eastAsia="Times New Roman" w:hAnsi="Times New Roman" w:cs="Times New Roman"/>
          <w:b/>
        </w:rPr>
      </w:pPr>
      <w:r w:rsidRPr="00FE1FBD">
        <w:rPr>
          <w:rFonts w:ascii="Times New Roman" w:eastAsia="Times New Roman" w:hAnsi="Times New Roman" w:cs="Times New Roman"/>
          <w:b/>
        </w:rPr>
        <w:t>Reference</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U. Cali, F. O. Catak, U. Halden, “Trustworthy cyber-physical power systems using AI: dueling algorithms for PMU anomaly detection and cybersecurity,” Artificial Intelligence Review, 2024, 57:183.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S. Pelekis, E. Karakolis, G. Lampropoulos, S. Mouzakitis, O. Markaki, C. Ntanos, D. Askounis, “Trustworthy artificial intelligence in the energy sector: Landscape analysis and evaluation framework,” arXiv preprint, 2024.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F. Henao, R. Edgell, A. Sharma, J. Olney, “AI in power systems: a systematic review of key matters of concern,” Energy Informatics, 2025, 8:76. </w:t>
      </w:r>
    </w:p>
    <w:p w:rsidR="00940897" w:rsidRPr="00FE1FBD" w:rsidRDefault="0034322C" w:rsidP="0034322C">
      <w:pPr>
        <w:pStyle w:val="a8"/>
        <w:numPr>
          <w:ilvl w:val="0"/>
          <w:numId w:val="15"/>
        </w:numPr>
        <w:spacing w:after="0" w:line="240" w:lineRule="auto"/>
        <w:rPr>
          <w:rFonts w:ascii="Times New Roman" w:eastAsia="Times New Roman" w:hAnsi="Times New Roman" w:cs="Times New Roman"/>
        </w:rPr>
      </w:pPr>
      <w:r w:rsidRPr="0034322C">
        <w:rPr>
          <w:rFonts w:ascii="Times New Roman" w:eastAsia="Times New Roman" w:hAnsi="Times New Roman" w:cs="Times New Roman"/>
        </w:rPr>
        <w:t>Zhang L, Li S, Wihl L, et al. Cybersecurity study of power system utilizing advanced cps simulation tools[C]//Proceedings of the 2019 PAC World Americas Conference</w:t>
      </w:r>
      <w:r>
        <w:rPr>
          <w:rFonts w:ascii="Times New Roman" w:eastAsia="Times New Roman" w:hAnsi="Times New Roman" w:cs="Times New Roman"/>
        </w:rPr>
        <w:t>, Raleigh, NC, USA. 2019: 19-22</w:t>
      </w:r>
      <w:r w:rsidR="00940897" w:rsidRPr="00FE1FBD">
        <w:rPr>
          <w:rFonts w:ascii="Times New Roman" w:eastAsia="Times New Roman" w:hAnsi="Times New Roman" w:cs="Times New Roman"/>
        </w:rPr>
        <w:t xml:space="preserve">.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lastRenderedPageBreak/>
        <w:t>Qu Z, Shi H, Wang Y, et al. Active and Passive Defense Strategies of Cyber-Physical Power System against Cyber Attacks Considering Node Vulnerability[J]. Processes, 2022, 10(7): 1351.</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B. N. Jørgensen, “Regulating AI in the Energy Sector: A Scoping Review of AI Governance and Energy Sector Regulation,” Energies, 2025, 18(9):2359.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NIST. Artificial Intelligence Risk Management Framework (AI RMF 1.0)[R]. 2023.</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NIST. Generative AI Profile: A Companion to the AI RMF (NIST AI 600-1)[R]. 2024.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IEEE Standards Association. IEEE 7009-2024: Standard for Fail-Safe Design of Autonomous and Semi-Autonomous Systems[S]. 2024.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ISO/IEC. TR 24028:2020—Artificial intelligence—Overview of trustworthiness[S]. 2020. </w:t>
      </w:r>
    </w:p>
    <w:p w:rsidR="00940897" w:rsidRPr="00FE1FBD" w:rsidRDefault="006E3186" w:rsidP="006E3186">
      <w:pPr>
        <w:pStyle w:val="a8"/>
        <w:numPr>
          <w:ilvl w:val="0"/>
          <w:numId w:val="15"/>
        </w:numPr>
        <w:spacing w:after="0" w:line="240" w:lineRule="auto"/>
        <w:rPr>
          <w:rFonts w:ascii="Times New Roman" w:eastAsia="Times New Roman" w:hAnsi="Times New Roman" w:cs="Times New Roman"/>
        </w:rPr>
      </w:pPr>
      <w:r w:rsidRPr="006E3186">
        <w:rPr>
          <w:rFonts w:ascii="Times New Roman" w:eastAsia="Times New Roman" w:hAnsi="Times New Roman" w:cs="Times New Roman"/>
        </w:rPr>
        <w:t>Huang Z, Yang W, Chen L, et al. Improvement of CPS in High-Proportion New-Energy Power System and Practical Application[J</w:t>
      </w:r>
      <w:r>
        <w:rPr>
          <w:rFonts w:ascii="Times New Roman" w:eastAsia="Times New Roman" w:hAnsi="Times New Roman" w:cs="Times New Roman"/>
        </w:rPr>
        <w:t>]. Energies, 2025, 18(23): 6284</w:t>
      </w:r>
      <w:r w:rsidR="0034322C" w:rsidRPr="0034322C">
        <w:rPr>
          <w:rFonts w:ascii="Times New Roman" w:eastAsia="Times New Roman" w:hAnsi="Times New Roman" w:cs="Times New Roman"/>
        </w:rPr>
        <w:t>.</w:t>
      </w:r>
      <w:r w:rsidR="00940897" w:rsidRPr="00FE1FBD">
        <w:rPr>
          <w:rFonts w:ascii="Times New Roman" w:eastAsia="Times New Roman" w:hAnsi="Times New Roman" w:cs="Times New Roman"/>
        </w:rPr>
        <w:t xml:space="preserve">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Aghazadeh Ardebili A, et al. Digital twins of smart energy systems: a systematic literature review[J]. Energy Informatics, 2024, 7:10. </w:t>
      </w:r>
    </w:p>
    <w:p w:rsidR="00940897" w:rsidRPr="00FE1FBD" w:rsidRDefault="00EE55FC" w:rsidP="00EE55FC">
      <w:pPr>
        <w:pStyle w:val="a8"/>
        <w:numPr>
          <w:ilvl w:val="0"/>
          <w:numId w:val="15"/>
        </w:numPr>
        <w:spacing w:after="0" w:line="240" w:lineRule="auto"/>
        <w:rPr>
          <w:rFonts w:ascii="Times New Roman" w:eastAsia="Times New Roman" w:hAnsi="Times New Roman" w:cs="Times New Roman"/>
        </w:rPr>
      </w:pPr>
      <w:r w:rsidRPr="00EE55FC">
        <w:rPr>
          <w:rFonts w:ascii="Times New Roman" w:eastAsia="Times New Roman" w:hAnsi="Times New Roman" w:cs="Times New Roman"/>
        </w:rPr>
        <w:t>Ashok A, Wang P, Brown M, et al. Experimental evaluation of cyber attacks on automatic generation control using a CPS security testbed[C]//2015 IEEE Power &amp; Energy Society General Meeting. IEEE, 2015: 1-5</w:t>
      </w:r>
      <w:r w:rsidR="00C32805">
        <w:rPr>
          <w:rFonts w:ascii="Times New Roman" w:eastAsia="Times New Roman" w:hAnsi="Times New Roman" w:cs="Times New Roman"/>
        </w:rPr>
        <w:t>.</w:t>
      </w:r>
      <w:r w:rsidR="00940897" w:rsidRPr="00FE1FBD">
        <w:rPr>
          <w:rFonts w:ascii="Times New Roman" w:eastAsia="Times New Roman" w:hAnsi="Times New Roman" w:cs="Times New Roman"/>
        </w:rPr>
        <w:t xml:space="preserve">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Shen Z, et al. Artificial intelligence and digital twins in power systems[J]. Digital Twin, 2024, 2:17632.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Li Y, Zhao B, Li Y, et al. Safe-AutoSAC: AutoML-enhanced safe deep reinforcement learning for integrated energy system scheduling with multi-channel informer forecasting and electric vehicle demand response[J]. Applied Energy, 2025, 399: 126468.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Moriano P, Hespeler S C, Li M, et al. Adaptive anomaly detection for identifying attacks in cyber-physical systems: A systematic literature review[J]. Artificial Intelligence Review, 2025, 58(9): 283.</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Wang L, Qu Z, et al. Method for Extracting Patterns of Coordinated Network Attacks on Electric Power CPS Based on Temporal–Topological Correlation[J]. IEEE Access, 2020, 8: 57260-57272. </w:t>
      </w:r>
    </w:p>
    <w:p w:rsidR="00940897" w:rsidRPr="00FE1FBD" w:rsidRDefault="00373AEE" w:rsidP="00373AEE">
      <w:pPr>
        <w:pStyle w:val="a8"/>
        <w:numPr>
          <w:ilvl w:val="0"/>
          <w:numId w:val="15"/>
        </w:numPr>
        <w:spacing w:after="0" w:line="240" w:lineRule="auto"/>
        <w:rPr>
          <w:rFonts w:ascii="Times New Roman" w:eastAsia="Times New Roman" w:hAnsi="Times New Roman" w:cs="Times New Roman"/>
        </w:rPr>
      </w:pPr>
      <w:r w:rsidRPr="00373AEE">
        <w:rPr>
          <w:rFonts w:ascii="Times New Roman" w:eastAsia="Times New Roman" w:hAnsi="Times New Roman" w:cs="Times New Roman"/>
        </w:rPr>
        <w:t xml:space="preserve">Ramesh M V, Devidas A R, Rangan V. Using CPS Enabled Microgrid System for optimal power utilization and supply strategy[J]. Energy </w:t>
      </w:r>
      <w:r>
        <w:rPr>
          <w:rFonts w:ascii="Times New Roman" w:eastAsia="Times New Roman" w:hAnsi="Times New Roman" w:cs="Times New Roman"/>
        </w:rPr>
        <w:t>and buildings, 2017, 145: 32-43</w:t>
      </w:r>
      <w:r w:rsidR="00940897" w:rsidRPr="00FE1FBD">
        <w:rPr>
          <w:rFonts w:ascii="Times New Roman" w:eastAsia="Times New Roman" w:hAnsi="Times New Roman" w:cs="Times New Roman"/>
        </w:rPr>
        <w:t>.</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Xing W, Shen J. Security control of cyber–physical systems under cyber attacks: A survey[J]. Sensors, 2024, 24(12): 3815.</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Li Y, Li Z, Chen L, et al. A false data injection attack method for generator dynamic state estimation[J]. Transactions of China Electrotechnical Society, 2020, 35(7): 1476-1488.</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Alhamrouni I, et al. AI in power system stability, control, and protection: insights and future directions[J]. Applied Sciences, 2024, 14(14):6214. </w:t>
      </w:r>
    </w:p>
    <w:p w:rsidR="00940897" w:rsidRPr="00FE1FBD" w:rsidRDefault="00310BEA"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Bo X, Qu Z, Liu Y, et al. Review of active defense methods against power cps false data injection attacks from the multiple spatiotemporal perspective[J]. Energy Reports, 2022, 8: 11235-11248</w:t>
      </w:r>
      <w:r w:rsidR="00940897" w:rsidRPr="00FE1FBD">
        <w:rPr>
          <w:rFonts w:ascii="Times New Roman" w:eastAsia="Times New Roman" w:hAnsi="Times New Roman" w:cs="Times New Roman"/>
        </w:rPr>
        <w:t xml:space="preserve">. </w:t>
      </w:r>
    </w:p>
    <w:p w:rsidR="00940897" w:rsidRPr="00FE1FBD" w:rsidRDefault="00267671" w:rsidP="00267671">
      <w:pPr>
        <w:pStyle w:val="a8"/>
        <w:numPr>
          <w:ilvl w:val="0"/>
          <w:numId w:val="15"/>
        </w:numPr>
        <w:spacing w:after="0" w:line="240" w:lineRule="auto"/>
        <w:rPr>
          <w:rFonts w:ascii="Times New Roman" w:eastAsia="Times New Roman" w:hAnsi="Times New Roman" w:cs="Times New Roman"/>
        </w:rPr>
      </w:pPr>
      <w:r w:rsidRPr="00267671">
        <w:rPr>
          <w:rFonts w:ascii="Times New Roman" w:eastAsia="Times New Roman" w:hAnsi="Times New Roman" w:cs="Times New Roman"/>
        </w:rPr>
        <w:t>Cheng Y, Bu S. Dynamic Assessment of OSI-Based Cyber Physical Power Systems Under Denial-of-Service Attacks[C]//2025 IEEE International Conference on Energy Technologies for Future Grids (ETFG). IEEE, 2025: 1-6.</w:t>
      </w:r>
      <w:r w:rsidR="00940897" w:rsidRPr="00FE1FBD">
        <w:rPr>
          <w:rFonts w:ascii="Times New Roman" w:eastAsia="Times New Roman" w:hAnsi="Times New Roman" w:cs="Times New Roman"/>
        </w:rPr>
        <w:t xml:space="preserve">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Miller T, et al. Federated learning for decentralized electricity market and energy systems: a review[J]. Energies, 2025, 18(17):4682. </w:t>
      </w:r>
    </w:p>
    <w:p w:rsidR="00940897" w:rsidRPr="00FE1FBD" w:rsidRDefault="00723BE4" w:rsidP="00723BE4">
      <w:pPr>
        <w:pStyle w:val="a8"/>
        <w:numPr>
          <w:ilvl w:val="0"/>
          <w:numId w:val="15"/>
        </w:numPr>
        <w:spacing w:after="0" w:line="240" w:lineRule="auto"/>
        <w:rPr>
          <w:rFonts w:ascii="Times New Roman" w:eastAsia="Times New Roman" w:hAnsi="Times New Roman" w:cs="Times New Roman"/>
        </w:rPr>
      </w:pPr>
      <w:r w:rsidRPr="00723BE4">
        <w:rPr>
          <w:rFonts w:ascii="Times New Roman" w:eastAsia="Times New Roman" w:hAnsi="Times New Roman" w:cs="Times New Roman"/>
        </w:rPr>
        <w:t>Gomez A L P, Maimo L F, Celdran A H, et al. Detection of adversarial attacks using deep learning and features extracted from interpretability methods in industrial scenarios[J]. I</w:t>
      </w:r>
      <w:r w:rsidR="00253CDF">
        <w:rPr>
          <w:rFonts w:ascii="Times New Roman" w:eastAsia="Times New Roman" w:hAnsi="Times New Roman" w:cs="Times New Roman"/>
        </w:rPr>
        <w:t>EEE Access, 2024, 13: 2705-2722</w:t>
      </w:r>
      <w:r w:rsidR="00940897" w:rsidRPr="00FE1FBD">
        <w:rPr>
          <w:rFonts w:ascii="Times New Roman" w:eastAsia="Times New Roman" w:hAnsi="Times New Roman" w:cs="Times New Roman"/>
        </w:rPr>
        <w:t xml:space="preserve">.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Chang Z, et al. A review of power system false data attack detection based on big data[J]. Information, 2024, 15(8):439.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lastRenderedPageBreak/>
        <w:t>Li Y, Li J, Wang Y. Privacy-preserving spatiotemporal scenario generation of renewable energies: A federated deep generative learning approach[J]. IEEE Transactions on Industrial Informatics, 2021, 18(4): 2310-2320.</w:t>
      </w:r>
    </w:p>
    <w:p w:rsidR="00940897" w:rsidRPr="00FE1FBD" w:rsidRDefault="00665D5B" w:rsidP="00665D5B">
      <w:pPr>
        <w:pStyle w:val="a8"/>
        <w:numPr>
          <w:ilvl w:val="0"/>
          <w:numId w:val="15"/>
        </w:numPr>
        <w:spacing w:after="0" w:line="240" w:lineRule="auto"/>
        <w:rPr>
          <w:rFonts w:ascii="Times New Roman" w:eastAsia="Times New Roman" w:hAnsi="Times New Roman" w:cs="Times New Roman"/>
        </w:rPr>
      </w:pPr>
      <w:r w:rsidRPr="00665D5B">
        <w:rPr>
          <w:rFonts w:ascii="Times New Roman" w:eastAsia="Times New Roman" w:hAnsi="Times New Roman" w:cs="Times New Roman"/>
        </w:rPr>
        <w:t>Amin M, El-Sousy F F M, Aziz G A A, et al. CPS attacks mitigation approaches on power electronic systems with security challenges for smart grid applications: A review[J]. Ie</w:t>
      </w:r>
      <w:r>
        <w:rPr>
          <w:rFonts w:ascii="Times New Roman" w:eastAsia="Times New Roman" w:hAnsi="Times New Roman" w:cs="Times New Roman"/>
        </w:rPr>
        <w:t>ee Access, 2021, 9: 38571-38601</w:t>
      </w:r>
      <w:r w:rsidR="00940897" w:rsidRPr="00FE1FBD">
        <w:rPr>
          <w:rFonts w:ascii="Times New Roman" w:eastAsia="Times New Roman" w:hAnsi="Times New Roman" w:cs="Times New Roman"/>
        </w:rPr>
        <w:t xml:space="preserve">.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Vassilev A, et al. Adversarial Machine Learning: A Taxonomy and Terminology[J]. NIST AI 100-2e2025, 2025.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Liu Y, Ning P, Reiter M K. False data injection attacks against state estimation in electric power grids[C]. ACM CCS, 2009: 21-32. </w:t>
      </w:r>
    </w:p>
    <w:p w:rsidR="00940897" w:rsidRPr="00FE1FBD" w:rsidRDefault="00310BEA"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Machlev R, Heistrene L, Perl M, et al. Explainable AI techniques for energy and power systems: review, challenges and opportunities[J]. Energy and AI, 2022, 9:100169</w:t>
      </w:r>
      <w:r w:rsidR="00940897" w:rsidRPr="00FE1FBD">
        <w:rPr>
          <w:rFonts w:ascii="Times New Roman" w:eastAsia="Times New Roman" w:hAnsi="Times New Roman" w:cs="Times New Roman"/>
        </w:rPr>
        <w:t xml:space="preserve">.  </w:t>
      </w:r>
    </w:p>
    <w:p w:rsidR="00940897" w:rsidRPr="00FE1FBD" w:rsidRDefault="00A714A5" w:rsidP="00A714A5">
      <w:pPr>
        <w:pStyle w:val="a8"/>
        <w:numPr>
          <w:ilvl w:val="0"/>
          <w:numId w:val="15"/>
        </w:numPr>
        <w:spacing w:after="0" w:line="240" w:lineRule="auto"/>
        <w:rPr>
          <w:rFonts w:ascii="Times New Roman" w:eastAsia="Times New Roman" w:hAnsi="Times New Roman" w:cs="Times New Roman"/>
        </w:rPr>
      </w:pPr>
      <w:r w:rsidRPr="00A714A5">
        <w:rPr>
          <w:rFonts w:ascii="Times New Roman" w:eastAsia="Times New Roman" w:hAnsi="Times New Roman" w:cs="Times New Roman"/>
        </w:rPr>
        <w:t>Wang Z, Xie W, Wang B, et al. A survey on recent advanced research of CPS security[J]. Appl</w:t>
      </w:r>
      <w:r>
        <w:rPr>
          <w:rFonts w:ascii="Times New Roman" w:eastAsia="Times New Roman" w:hAnsi="Times New Roman" w:cs="Times New Roman"/>
        </w:rPr>
        <w:t>ied Sciences, 2021, 11(9): 3751</w:t>
      </w:r>
      <w:r w:rsidR="00940897" w:rsidRPr="00FE1FBD">
        <w:rPr>
          <w:rFonts w:ascii="Times New Roman" w:eastAsia="Times New Roman" w:hAnsi="Times New Roman" w:cs="Times New Roman"/>
        </w:rPr>
        <w:t xml:space="preserve">. </w:t>
      </w:r>
    </w:p>
    <w:p w:rsidR="00940897" w:rsidRPr="00FE1FBD" w:rsidRDefault="00550364" w:rsidP="00550364">
      <w:pPr>
        <w:pStyle w:val="a8"/>
        <w:numPr>
          <w:ilvl w:val="0"/>
          <w:numId w:val="15"/>
        </w:numPr>
        <w:spacing w:after="0" w:line="240" w:lineRule="auto"/>
        <w:rPr>
          <w:rFonts w:ascii="Times New Roman" w:eastAsia="Times New Roman" w:hAnsi="Times New Roman" w:cs="Times New Roman"/>
        </w:rPr>
      </w:pPr>
      <w:r w:rsidRPr="00550364">
        <w:rPr>
          <w:rFonts w:ascii="Times New Roman" w:eastAsia="Times New Roman" w:hAnsi="Times New Roman" w:cs="Times New Roman"/>
        </w:rPr>
        <w:t>Zhang X, Li J. Power control for cognitive users of perception layer in complex industrial CPS based on DQN[J]. IE</w:t>
      </w:r>
      <w:r>
        <w:rPr>
          <w:rFonts w:ascii="Times New Roman" w:eastAsia="Times New Roman" w:hAnsi="Times New Roman" w:cs="Times New Roman"/>
        </w:rPr>
        <w:t>EE Access, 2021, 9: 25371-25382</w:t>
      </w:r>
      <w:r w:rsidR="007D1229" w:rsidRPr="007D1229">
        <w:rPr>
          <w:rFonts w:ascii="Times New Roman" w:eastAsia="Times New Roman" w:hAnsi="Times New Roman" w:cs="Times New Roman"/>
        </w:rPr>
        <w:t>.</w:t>
      </w:r>
      <w:r w:rsidR="00940897" w:rsidRPr="00FE1FBD">
        <w:rPr>
          <w:rFonts w:ascii="Times New Roman" w:eastAsia="Times New Roman" w:hAnsi="Times New Roman" w:cs="Times New Roman"/>
        </w:rPr>
        <w:t xml:space="preserve"> </w:t>
      </w:r>
    </w:p>
    <w:p w:rsidR="00940897" w:rsidRPr="00FE1FBD" w:rsidRDefault="001C41B3" w:rsidP="001C41B3">
      <w:pPr>
        <w:pStyle w:val="a8"/>
        <w:numPr>
          <w:ilvl w:val="0"/>
          <w:numId w:val="15"/>
        </w:numPr>
        <w:spacing w:after="0" w:line="240" w:lineRule="auto"/>
        <w:rPr>
          <w:rFonts w:ascii="Times New Roman" w:eastAsia="Times New Roman" w:hAnsi="Times New Roman" w:cs="Times New Roman"/>
        </w:rPr>
      </w:pPr>
      <w:r w:rsidRPr="001C41B3">
        <w:rPr>
          <w:rFonts w:ascii="Times New Roman" w:eastAsia="Times New Roman" w:hAnsi="Times New Roman" w:cs="Times New Roman"/>
        </w:rPr>
        <w:t>Alsaigh R, Mehmood R, Katib I. AI explainability and governance in smart energy systems: A review[J]. Frontiers in Energy Research, 2023, 11: 1071291.</w:t>
      </w:r>
      <w:r w:rsidR="00940897" w:rsidRPr="00FE1FBD">
        <w:rPr>
          <w:rFonts w:ascii="Times New Roman" w:eastAsia="Times New Roman" w:hAnsi="Times New Roman" w:cs="Times New Roman"/>
        </w:rPr>
        <w:t xml:space="preserve">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Bo X, Chen X, Li H, et al. Modeling Method for the Coupling Relations of Microgrid Cyber-Physical Systems Driven by Hybrid Spatiotemporal Events[J]. IEEE Access, 2021, 9: 19619-19631. </w:t>
      </w:r>
    </w:p>
    <w:p w:rsidR="00940897" w:rsidRPr="00FE1FBD" w:rsidRDefault="00422A82" w:rsidP="00422A82">
      <w:pPr>
        <w:pStyle w:val="a8"/>
        <w:numPr>
          <w:ilvl w:val="0"/>
          <w:numId w:val="15"/>
        </w:numPr>
        <w:spacing w:after="0" w:line="240" w:lineRule="auto"/>
        <w:rPr>
          <w:rFonts w:ascii="Times New Roman" w:eastAsia="Times New Roman" w:hAnsi="Times New Roman" w:cs="Times New Roman"/>
        </w:rPr>
      </w:pPr>
      <w:r w:rsidRPr="00422A82">
        <w:rPr>
          <w:rFonts w:ascii="Times New Roman" w:eastAsia="Times New Roman" w:hAnsi="Times New Roman" w:cs="Times New Roman" w:hint="eastAsia"/>
        </w:rPr>
        <w:t>Al‐Shetwi A Q, Atawi I E, El‐Hameed M A, et al. Digital Twin Technology for Renewable Energy, Smart Grids, Energy Storage and Vehicle‐to‐Grid Integration: Advancements, applications, key players, challenges and future perspectives in modernising sustainabl</w:t>
      </w:r>
      <w:r w:rsidRPr="00422A82">
        <w:rPr>
          <w:rFonts w:ascii="Times New Roman" w:eastAsia="Times New Roman" w:hAnsi="Times New Roman" w:cs="Times New Roman"/>
        </w:rPr>
        <w:t>e grids[J]. IET</w:t>
      </w:r>
      <w:r>
        <w:rPr>
          <w:rFonts w:ascii="Times New Roman" w:eastAsia="Times New Roman" w:hAnsi="Times New Roman" w:cs="Times New Roman"/>
        </w:rPr>
        <w:t xml:space="preserve"> Smart Grid, 2025, 8(1): e70026</w:t>
      </w:r>
      <w:r w:rsidR="00940897" w:rsidRPr="00FE1FBD">
        <w:rPr>
          <w:rFonts w:ascii="Times New Roman" w:eastAsia="Times New Roman" w:hAnsi="Times New Roman" w:cs="Times New Roman"/>
        </w:rPr>
        <w:t xml:space="preserve">. </w:t>
      </w:r>
    </w:p>
    <w:p w:rsidR="00940897" w:rsidRPr="00FE1FBD" w:rsidRDefault="00CD1D37" w:rsidP="00CD1D37">
      <w:pPr>
        <w:pStyle w:val="a8"/>
        <w:numPr>
          <w:ilvl w:val="0"/>
          <w:numId w:val="15"/>
        </w:numPr>
        <w:spacing w:after="0" w:line="240" w:lineRule="auto"/>
        <w:rPr>
          <w:rFonts w:ascii="Times New Roman" w:eastAsia="Times New Roman" w:hAnsi="Times New Roman" w:cs="Times New Roman"/>
        </w:rPr>
      </w:pPr>
      <w:r w:rsidRPr="00CD1D37">
        <w:rPr>
          <w:rFonts w:ascii="Times New Roman" w:eastAsia="Times New Roman" w:hAnsi="Times New Roman" w:cs="Times New Roman"/>
        </w:rPr>
        <w:t xml:space="preserve">Jan Y, Jóźwiak L. Quality-driven design of deep neural network hardware accelerators for low power CPS and IoT applications[J]. Microprocessors and Microsystems, 2024, 111: </w:t>
      </w:r>
      <w:r>
        <w:rPr>
          <w:rFonts w:ascii="Times New Roman" w:eastAsia="Times New Roman" w:hAnsi="Times New Roman" w:cs="Times New Roman"/>
        </w:rPr>
        <w:t>105119</w:t>
      </w:r>
      <w:r w:rsidR="00AE4C62" w:rsidRPr="00AE4C62">
        <w:rPr>
          <w:rFonts w:ascii="Times New Roman" w:eastAsia="Times New Roman" w:hAnsi="Times New Roman" w:cs="Times New Roman"/>
        </w:rPr>
        <w:t>.</w:t>
      </w:r>
      <w:r w:rsidR="00940897" w:rsidRPr="00FE1FBD">
        <w:rPr>
          <w:rFonts w:ascii="Times New Roman" w:eastAsia="Times New Roman" w:hAnsi="Times New Roman" w:cs="Times New Roman"/>
        </w:rPr>
        <w:t xml:space="preserve"> </w:t>
      </w:r>
    </w:p>
    <w:p w:rsidR="00940897" w:rsidRPr="00FE1FBD" w:rsidRDefault="007B033C" w:rsidP="007B033C">
      <w:pPr>
        <w:pStyle w:val="a8"/>
        <w:numPr>
          <w:ilvl w:val="0"/>
          <w:numId w:val="15"/>
        </w:numPr>
        <w:spacing w:after="0" w:line="240" w:lineRule="auto"/>
        <w:rPr>
          <w:rFonts w:ascii="Times New Roman" w:eastAsia="Times New Roman" w:hAnsi="Times New Roman" w:cs="Times New Roman"/>
        </w:rPr>
      </w:pPr>
      <w:r w:rsidRPr="007B033C">
        <w:rPr>
          <w:rFonts w:ascii="Times New Roman" w:eastAsia="Times New Roman" w:hAnsi="Times New Roman" w:cs="Times New Roman"/>
        </w:rPr>
        <w:t>Xu Y, Fu R. Petri net-based power CPS network attack and impact modeling[C]//2018 5th IEEE International Conference on Cloud Computing and Intelligence System</w:t>
      </w:r>
      <w:r>
        <w:rPr>
          <w:rFonts w:ascii="Times New Roman" w:eastAsia="Times New Roman" w:hAnsi="Times New Roman" w:cs="Times New Roman"/>
        </w:rPr>
        <w:t>s (CCIS). IEEE, 2018: 1107-1110</w:t>
      </w:r>
      <w:r w:rsidR="00940897" w:rsidRPr="00FE1FBD">
        <w:rPr>
          <w:rFonts w:ascii="Times New Roman" w:eastAsia="Times New Roman" w:hAnsi="Times New Roman" w:cs="Times New Roman"/>
        </w:rPr>
        <w:t xml:space="preserve">.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Nicolas D, et al. Trustworthiness of deep learning under adversarial perturbations in industrial control systems[J]. Energies, 2025, 18(10):2611.</w:t>
      </w:r>
    </w:p>
    <w:p w:rsidR="00940897" w:rsidRPr="00FE1FBD" w:rsidRDefault="005B61E6" w:rsidP="005B61E6">
      <w:pPr>
        <w:pStyle w:val="a8"/>
        <w:numPr>
          <w:ilvl w:val="0"/>
          <w:numId w:val="15"/>
        </w:numPr>
        <w:spacing w:after="0" w:line="240" w:lineRule="auto"/>
        <w:rPr>
          <w:rFonts w:ascii="Times New Roman" w:eastAsia="Times New Roman" w:hAnsi="Times New Roman" w:cs="Times New Roman"/>
        </w:rPr>
      </w:pPr>
      <w:r w:rsidRPr="005B61E6">
        <w:rPr>
          <w:rFonts w:ascii="Times New Roman" w:eastAsia="Times New Roman" w:hAnsi="Times New Roman" w:cs="Times New Roman"/>
        </w:rPr>
        <w:t>Wang Y, Xu S, Xu Y, et al. The research and implementation of power CPS simulation platform based on ADPSS[C]//IET Conference Proceedings CP775. Stevenage, UK: The Institution of Engineering and Tec</w:t>
      </w:r>
      <w:r>
        <w:rPr>
          <w:rFonts w:ascii="Times New Roman" w:eastAsia="Times New Roman" w:hAnsi="Times New Roman" w:cs="Times New Roman"/>
        </w:rPr>
        <w:t>hnology, 2020, 2020(1): 706-711</w:t>
      </w:r>
      <w:r w:rsidR="00940897" w:rsidRPr="00FE1FBD">
        <w:rPr>
          <w:rFonts w:ascii="Times New Roman" w:eastAsia="Times New Roman" w:hAnsi="Times New Roman" w:cs="Times New Roman"/>
        </w:rPr>
        <w:t xml:space="preserve">.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Porawagamage G, et al. A review of machine learning applications in power system protection and control[J]. Frontiers in Smart Grids, 2024. </w:t>
      </w:r>
    </w:p>
    <w:p w:rsidR="00940897" w:rsidRPr="00FE1FBD" w:rsidRDefault="003654AD" w:rsidP="003654AD">
      <w:pPr>
        <w:pStyle w:val="a8"/>
        <w:numPr>
          <w:ilvl w:val="0"/>
          <w:numId w:val="15"/>
        </w:numPr>
        <w:spacing w:after="0" w:line="240" w:lineRule="auto"/>
        <w:rPr>
          <w:rFonts w:ascii="Times New Roman" w:eastAsia="Times New Roman" w:hAnsi="Times New Roman" w:cs="Times New Roman"/>
        </w:rPr>
      </w:pPr>
      <w:r w:rsidRPr="003654AD">
        <w:rPr>
          <w:rFonts w:ascii="Times New Roman" w:eastAsia="Times New Roman" w:hAnsi="Times New Roman" w:cs="Times New Roman"/>
        </w:rPr>
        <w:t>Yeji L, Minjae S, Kyungnam P, et al. Power System Decision Making in the Age of Deep Learning: A Comprehensive Review[J</w:t>
      </w:r>
      <w:r>
        <w:rPr>
          <w:rFonts w:ascii="Times New Roman" w:eastAsia="Times New Roman" w:hAnsi="Times New Roman" w:cs="Times New Roman"/>
        </w:rPr>
        <w:t>]. Energies, 2025, 18(18): 4867</w:t>
      </w:r>
      <w:r w:rsidR="00940897" w:rsidRPr="00FE1FBD">
        <w:rPr>
          <w:rFonts w:ascii="Times New Roman" w:eastAsia="Times New Roman" w:hAnsi="Times New Roman" w:cs="Times New Roman"/>
        </w:rPr>
        <w:t xml:space="preserve">. </w:t>
      </w:r>
    </w:p>
    <w:p w:rsidR="00940897" w:rsidRPr="00FE1FBD" w:rsidRDefault="00255EB6" w:rsidP="00255EB6">
      <w:pPr>
        <w:pStyle w:val="a8"/>
        <w:numPr>
          <w:ilvl w:val="0"/>
          <w:numId w:val="15"/>
        </w:numPr>
        <w:spacing w:after="0" w:line="240" w:lineRule="auto"/>
        <w:rPr>
          <w:rFonts w:ascii="Times New Roman" w:eastAsia="Times New Roman" w:hAnsi="Times New Roman" w:cs="Times New Roman"/>
        </w:rPr>
      </w:pPr>
      <w:r w:rsidRPr="00255EB6">
        <w:rPr>
          <w:rFonts w:ascii="Times New Roman" w:eastAsia="Times New Roman" w:hAnsi="Times New Roman" w:cs="Times New Roman"/>
        </w:rPr>
        <w:t>Fan Y, Li J, Zhang D, et al. Supporting sustainable maintenance of substations under cyber-threats: An evaluation method of cybersecurity risk for power CPS[J]. Sustainability, 2019, 11(4): 982.</w:t>
      </w:r>
      <w:r w:rsidR="00940897" w:rsidRPr="00FE1FBD">
        <w:rPr>
          <w:rFonts w:ascii="Times New Roman" w:eastAsia="Times New Roman" w:hAnsi="Times New Roman" w:cs="Times New Roman"/>
        </w:rPr>
        <w:t xml:space="preserve">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Costilla-Enriquez N, et al. Attack power system state estimation by implicitly learning the underlying models[J]. IEEE Transactions on Smart Grid, 2023</w:t>
      </w:r>
      <w:r w:rsidR="00E97CC5">
        <w:rPr>
          <w:rFonts w:ascii="Times New Roman" w:eastAsia="Times New Roman" w:hAnsi="Times New Roman" w:cs="Times New Roman"/>
        </w:rPr>
        <w:t>,14(3):250-261</w:t>
      </w:r>
      <w:r w:rsidRPr="00FE1FBD">
        <w:rPr>
          <w:rFonts w:ascii="Times New Roman" w:eastAsia="Times New Roman" w:hAnsi="Times New Roman" w:cs="Times New Roman"/>
        </w:rPr>
        <w:t xml:space="preserve">.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Schilling C, et al. Verification of neural-network control systems by integrating Taylor models and zonotopes[C]. AAAI, 2022.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ArjomandBigdeli A, et al. Verification of neural network control systems in continuous time[C]. In: AI Verification Workshop / LNCS chapter, 2024. </w:t>
      </w:r>
    </w:p>
    <w:p w:rsidR="00940897" w:rsidRPr="00FE1FBD" w:rsidRDefault="00A737B2" w:rsidP="007F0579">
      <w:pPr>
        <w:pStyle w:val="a8"/>
        <w:numPr>
          <w:ilvl w:val="0"/>
          <w:numId w:val="15"/>
        </w:numPr>
        <w:spacing w:after="0" w:line="240" w:lineRule="auto"/>
        <w:rPr>
          <w:rFonts w:ascii="Times New Roman" w:eastAsia="Times New Roman" w:hAnsi="Times New Roman" w:cs="Times New Roman"/>
        </w:rPr>
      </w:pPr>
      <w:r w:rsidRPr="00A737B2">
        <w:rPr>
          <w:rFonts w:ascii="Times New Roman" w:eastAsia="Times New Roman" w:hAnsi="Times New Roman" w:cs="Times New Roman"/>
        </w:rPr>
        <w:lastRenderedPageBreak/>
        <w:t>Wei M, Chai B, Liu S, et al. CPS Modeling and Analysis Method of Power Grid Based on Graph Computing[C]//2021 IEEE International Conference on Energy Internet (ICEI). IEEE, 2021: 149-156</w:t>
      </w:r>
      <w:r w:rsidR="007F0579" w:rsidRPr="007F0579">
        <w:rPr>
          <w:rFonts w:ascii="Times New Roman" w:eastAsia="Times New Roman" w:hAnsi="Times New Roman" w:cs="Times New Roman"/>
        </w:rPr>
        <w:t>.</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Alhamrouni I, et al. A comprehensive review on the role of AI in power system stability, control, and protection[J]. Applied Sciences, 2024, 14(14):6214.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Ahmad H, et al. Ai-enabled framework for anomaly detection in power distribution networks under false data injection attacks[J]. Artificial Intelligence Review, 2025, 58: 355.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Guato Burgos M F, et al. A review of smart-grid anomaly detection approaches using AI[J]. Applied Sciences, 2024, 14(3):1194. </w:t>
      </w:r>
    </w:p>
    <w:p w:rsidR="00940897" w:rsidRPr="00FE1FBD" w:rsidRDefault="00E84797" w:rsidP="00E84797">
      <w:pPr>
        <w:pStyle w:val="a8"/>
        <w:numPr>
          <w:ilvl w:val="0"/>
          <w:numId w:val="15"/>
        </w:numPr>
        <w:spacing w:after="0" w:line="240" w:lineRule="auto"/>
        <w:rPr>
          <w:rFonts w:ascii="Times New Roman" w:eastAsia="Times New Roman" w:hAnsi="Times New Roman" w:cs="Times New Roman"/>
        </w:rPr>
      </w:pPr>
      <w:r w:rsidRPr="00E84797">
        <w:rPr>
          <w:rFonts w:ascii="Times New Roman" w:eastAsia="Times New Roman" w:hAnsi="Times New Roman" w:cs="Times New Roman"/>
        </w:rPr>
        <w:t>Izuazu U U, Nwakanma C I, Kim D S, et al. Explainable and perturbation-resilient model for cyber-threat detection in industrial control systems Networks[J]. Discover In</w:t>
      </w:r>
      <w:r>
        <w:rPr>
          <w:rFonts w:ascii="Times New Roman" w:eastAsia="Times New Roman" w:hAnsi="Times New Roman" w:cs="Times New Roman"/>
        </w:rPr>
        <w:t>ternet of Things, 2025, 5(1): 9</w:t>
      </w:r>
      <w:r w:rsidR="00940897" w:rsidRPr="00FE1FBD">
        <w:rPr>
          <w:rFonts w:ascii="Times New Roman" w:eastAsia="Times New Roman" w:hAnsi="Times New Roman" w:cs="Times New Roman"/>
        </w:rPr>
        <w:t xml:space="preserve">.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Li Y, He S, et al. Federated multiagent deep reinforcement learning approach via physics-informed reward for multimicrogrid energy management[J]. IEEE Transactions on Neural Networks and Learning Systems, 2023, 35(5): 5902-5914.</w:t>
      </w:r>
    </w:p>
    <w:p w:rsidR="00940897" w:rsidRPr="00FE1FBD" w:rsidRDefault="00EF0747" w:rsidP="00EF0747">
      <w:pPr>
        <w:pStyle w:val="a8"/>
        <w:numPr>
          <w:ilvl w:val="0"/>
          <w:numId w:val="15"/>
        </w:numPr>
        <w:spacing w:after="0" w:line="240" w:lineRule="auto"/>
        <w:rPr>
          <w:rFonts w:ascii="Times New Roman" w:eastAsia="Times New Roman" w:hAnsi="Times New Roman" w:cs="Times New Roman"/>
        </w:rPr>
      </w:pPr>
      <w:r w:rsidRPr="00EF0747">
        <w:rPr>
          <w:rFonts w:ascii="Times New Roman" w:eastAsia="Times New Roman" w:hAnsi="Times New Roman" w:cs="Times New Roman"/>
        </w:rPr>
        <w:t>Vignes V M, MP S H, Satheesh R, et al. AI-driven cybersecurity framework for anomaly detection in power systems[J]. Scient</w:t>
      </w:r>
      <w:r w:rsidR="00A754A6">
        <w:rPr>
          <w:rFonts w:ascii="Times New Roman" w:eastAsia="Times New Roman" w:hAnsi="Times New Roman" w:cs="Times New Roman"/>
        </w:rPr>
        <w:t>ific Reports, 2025, 15: 35506</w:t>
      </w:r>
      <w:r w:rsidR="00940897" w:rsidRPr="00FE1FBD">
        <w:rPr>
          <w:rFonts w:ascii="Times New Roman" w:eastAsia="Times New Roman" w:hAnsi="Times New Roman" w:cs="Times New Roman"/>
        </w:rPr>
        <w:t xml:space="preserve">.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North American Electric Reliability Corporation (NERC). 2024 Long-Term Reliability Assessment[R]. 2024.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NIST. Generative AI Profile: A Companion to the AI RMF (NIST AI-600-1) [R]. 2024.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European Union. Regulation (EU) 2024/1689 — Artificial Intelligence Act [R]. 2024.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U.S. Department of Energy (DOE). AI for Energy: Opportunities for a Modern Grid and Clean Energy Economy[R]. 2024.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Argonne National Laboratory (ANL). Advanced Research Directions on AI for Energy[R]. 2024. </w:t>
      </w:r>
    </w:p>
    <w:p w:rsidR="00940897" w:rsidRPr="00FE1FBD" w:rsidRDefault="00DE3250" w:rsidP="00DE3250">
      <w:pPr>
        <w:pStyle w:val="a8"/>
        <w:numPr>
          <w:ilvl w:val="0"/>
          <w:numId w:val="15"/>
        </w:numPr>
        <w:spacing w:after="0" w:line="240" w:lineRule="auto"/>
        <w:rPr>
          <w:rFonts w:ascii="Times New Roman" w:eastAsia="Times New Roman" w:hAnsi="Times New Roman" w:cs="Times New Roman"/>
        </w:rPr>
      </w:pPr>
      <w:r w:rsidRPr="00DE3250">
        <w:rPr>
          <w:rFonts w:ascii="Times New Roman" w:eastAsia="Times New Roman" w:hAnsi="Times New Roman" w:cs="Times New Roman"/>
        </w:rPr>
        <w:t>Yin Z, Zhuo Y, Ge Z. Transfer adversarial attacks across industrial intelligent systems[J]. Reliability Engineering &amp; S</w:t>
      </w:r>
      <w:r>
        <w:rPr>
          <w:rFonts w:ascii="Times New Roman" w:eastAsia="Times New Roman" w:hAnsi="Times New Roman" w:cs="Times New Roman"/>
        </w:rPr>
        <w:t>ystem Safety, 2023, 237: 109299</w:t>
      </w:r>
      <w:r w:rsidR="00940897" w:rsidRPr="00FE1FBD">
        <w:rPr>
          <w:rFonts w:ascii="Times New Roman" w:eastAsia="Times New Roman" w:hAnsi="Times New Roman" w:cs="Times New Roman"/>
        </w:rPr>
        <w:t xml:space="preserve">.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Qu Z, Qu N, Zhou Y, et al. Extraction of Typical Operating Scenarios of New Power System Based on Deep Time Series Aggregation[J]. CAAI Transactions on Intelligence Technology, 2024, 1-17. DOI: 10.1049/cit2.12369. </w:t>
      </w:r>
    </w:p>
    <w:p w:rsidR="00940897" w:rsidRPr="00FE1FBD" w:rsidRDefault="00F834D9" w:rsidP="00F834D9">
      <w:pPr>
        <w:pStyle w:val="a8"/>
        <w:numPr>
          <w:ilvl w:val="0"/>
          <w:numId w:val="15"/>
        </w:numPr>
        <w:spacing w:after="0" w:line="240" w:lineRule="auto"/>
        <w:rPr>
          <w:rFonts w:ascii="Times New Roman" w:eastAsia="Times New Roman" w:hAnsi="Times New Roman" w:cs="Times New Roman"/>
        </w:rPr>
      </w:pPr>
      <w:r w:rsidRPr="00F834D9">
        <w:rPr>
          <w:rFonts w:ascii="Times New Roman" w:eastAsia="Times New Roman" w:hAnsi="Times New Roman" w:cs="Times New Roman"/>
        </w:rPr>
        <w:t>Guo R, Liu H, Liu D. When deep learning-based soft sensors encounter reliability challenges: A practical knowledge-guided adversarial attack and its defense[J]. IEEE Transactions on Industrial Informatics, 20</w:t>
      </w:r>
      <w:r>
        <w:rPr>
          <w:rFonts w:ascii="Times New Roman" w:eastAsia="Times New Roman" w:hAnsi="Times New Roman" w:cs="Times New Roman"/>
        </w:rPr>
        <w:t>23, 20(2): 2702-2714</w:t>
      </w:r>
      <w:r w:rsidR="00940897" w:rsidRPr="00FE1FBD">
        <w:rPr>
          <w:rFonts w:ascii="Times New Roman" w:eastAsia="Times New Roman" w:hAnsi="Times New Roman" w:cs="Times New Roman"/>
        </w:rPr>
        <w:t xml:space="preserve">. </w:t>
      </w:r>
    </w:p>
    <w:p w:rsidR="00940897" w:rsidRPr="00FE1FBD" w:rsidRDefault="006E0555" w:rsidP="006E0555">
      <w:pPr>
        <w:pStyle w:val="a8"/>
        <w:numPr>
          <w:ilvl w:val="0"/>
          <w:numId w:val="15"/>
        </w:numPr>
        <w:spacing w:after="0" w:line="240" w:lineRule="auto"/>
        <w:rPr>
          <w:rFonts w:ascii="Times New Roman" w:eastAsia="Times New Roman" w:hAnsi="Times New Roman" w:cs="Times New Roman"/>
        </w:rPr>
      </w:pPr>
      <w:r w:rsidRPr="006E0555">
        <w:rPr>
          <w:rFonts w:ascii="Times New Roman" w:eastAsia="Times New Roman" w:hAnsi="Times New Roman" w:cs="Times New Roman"/>
        </w:rPr>
        <w:t>Pal R, Prasanna V. The STREAM mechanism for CPS security the case of the smart grid[J]. IEEE Transactions on Computer-Aided Design of Integrated Circuits an</w:t>
      </w:r>
      <w:r>
        <w:rPr>
          <w:rFonts w:ascii="Times New Roman" w:eastAsia="Times New Roman" w:hAnsi="Times New Roman" w:cs="Times New Roman"/>
        </w:rPr>
        <w:t>d Systems, 2016, 36(4): 537-550</w:t>
      </w:r>
      <w:r w:rsidR="00940897" w:rsidRPr="00FE1FBD">
        <w:rPr>
          <w:rFonts w:ascii="Times New Roman" w:eastAsia="Times New Roman" w:hAnsi="Times New Roman" w:cs="Times New Roman"/>
        </w:rPr>
        <w:t xml:space="preserve">.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Alshamasi R. Z., et al. Federated intelligence for smart grids: a comprehensive review of security and privacy strategies [J]. Journal of E</w:t>
      </w:r>
      <w:r w:rsidR="00A022B1">
        <w:rPr>
          <w:rFonts w:ascii="Times New Roman" w:eastAsia="Times New Roman" w:hAnsi="Times New Roman" w:cs="Times New Roman"/>
        </w:rPr>
        <w:t>ngineering and Applied Science</w:t>
      </w:r>
      <w:r w:rsidRPr="00FE1FBD">
        <w:rPr>
          <w:rFonts w:ascii="Times New Roman" w:eastAsia="Times New Roman" w:hAnsi="Times New Roman" w:cs="Times New Roman"/>
        </w:rPr>
        <w:t>, 2025</w:t>
      </w:r>
      <w:r w:rsidR="00082794">
        <w:rPr>
          <w:rFonts w:ascii="Times New Roman" w:eastAsia="Times New Roman" w:hAnsi="Times New Roman" w:cs="Times New Roman"/>
        </w:rPr>
        <w:t>,</w:t>
      </w:r>
      <w:r w:rsidR="00A022B1">
        <w:rPr>
          <w:rFonts w:ascii="Times New Roman" w:eastAsia="Times New Roman" w:hAnsi="Times New Roman" w:cs="Times New Roman"/>
        </w:rPr>
        <w:t>72(2):106-114</w:t>
      </w:r>
      <w:r w:rsidRPr="00FE1FBD">
        <w:rPr>
          <w:rFonts w:ascii="Times New Roman" w:eastAsia="Times New Roman" w:hAnsi="Times New Roman" w:cs="Times New Roman"/>
        </w:rPr>
        <w:t xml:space="preserve">. </w:t>
      </w:r>
    </w:p>
    <w:p w:rsidR="00940897" w:rsidRPr="00FE1FBD" w:rsidRDefault="00195E40" w:rsidP="00195E40">
      <w:pPr>
        <w:pStyle w:val="a8"/>
        <w:numPr>
          <w:ilvl w:val="0"/>
          <w:numId w:val="15"/>
        </w:numPr>
        <w:spacing w:after="0" w:line="240" w:lineRule="auto"/>
        <w:rPr>
          <w:rFonts w:ascii="Times New Roman" w:eastAsia="Times New Roman" w:hAnsi="Times New Roman" w:cs="Times New Roman"/>
        </w:rPr>
      </w:pPr>
      <w:r w:rsidRPr="00195E40">
        <w:rPr>
          <w:rFonts w:ascii="Times New Roman" w:eastAsia="Times New Roman" w:hAnsi="Times New Roman" w:cs="Times New Roman"/>
        </w:rPr>
        <w:t xml:space="preserve">Chidambaram I A, Francis R. Automatic generation control of a two area reheat interconnected power system based on CPS using fuzzy neural network[C]//2011 International Conference on Emerging Trends in Electrical and Computer </w:t>
      </w:r>
      <w:r>
        <w:rPr>
          <w:rFonts w:ascii="Times New Roman" w:eastAsia="Times New Roman" w:hAnsi="Times New Roman" w:cs="Times New Roman"/>
        </w:rPr>
        <w:t>Technology. IEEE, 2011: 200-205</w:t>
      </w:r>
      <w:r w:rsidR="00940897" w:rsidRPr="00FE1FBD">
        <w:rPr>
          <w:rFonts w:ascii="Times New Roman" w:eastAsia="Times New Roman" w:hAnsi="Times New Roman" w:cs="Times New Roman"/>
        </w:rPr>
        <w:t xml:space="preserve">. </w:t>
      </w:r>
    </w:p>
    <w:p w:rsidR="00940897" w:rsidRPr="00FE1FBD" w:rsidRDefault="001743B4" w:rsidP="001743B4">
      <w:pPr>
        <w:pStyle w:val="a8"/>
        <w:numPr>
          <w:ilvl w:val="0"/>
          <w:numId w:val="15"/>
        </w:numPr>
        <w:spacing w:after="0" w:line="240" w:lineRule="auto"/>
        <w:rPr>
          <w:rFonts w:ascii="Times New Roman" w:eastAsia="Times New Roman" w:hAnsi="Times New Roman" w:cs="Times New Roman"/>
        </w:rPr>
      </w:pPr>
      <w:r w:rsidRPr="001743B4">
        <w:rPr>
          <w:rFonts w:ascii="Times New Roman" w:eastAsia="Times New Roman" w:hAnsi="Times New Roman" w:cs="Times New Roman"/>
        </w:rPr>
        <w:t>Afridi Y S, Ahmad K, Hassan L. Artificial intelligence based prognostic maintenance of renewable energy systems: A review of techniques, challenges, and future research directions[J]. International Journal of Energy Research, 2022, 46(15): 21619-21642.</w:t>
      </w:r>
    </w:p>
    <w:p w:rsidR="00940897" w:rsidRPr="00FE1FBD" w:rsidRDefault="00E25650" w:rsidP="00E25650">
      <w:pPr>
        <w:pStyle w:val="a8"/>
        <w:numPr>
          <w:ilvl w:val="0"/>
          <w:numId w:val="15"/>
        </w:numPr>
        <w:spacing w:after="0" w:line="240" w:lineRule="auto"/>
        <w:rPr>
          <w:rFonts w:ascii="Times New Roman" w:eastAsia="Times New Roman" w:hAnsi="Times New Roman" w:cs="Times New Roman"/>
        </w:rPr>
      </w:pPr>
      <w:r w:rsidRPr="00E25650">
        <w:rPr>
          <w:rFonts w:ascii="Times New Roman" w:eastAsia="Times New Roman" w:hAnsi="Times New Roman" w:cs="Times New Roman"/>
        </w:rPr>
        <w:t>Zhou J, Gao H, Zhou R, et al. Design of an interconnected power CPS anti-packet-loss oscillation suppression controller based on HyLNN-IE-PID[J]. Transactions of the Institute of Measurement and Control, 2025: 0142331</w:t>
      </w:r>
      <w:r>
        <w:rPr>
          <w:rFonts w:ascii="Times New Roman" w:eastAsia="Times New Roman" w:hAnsi="Times New Roman" w:cs="Times New Roman"/>
        </w:rPr>
        <w:t>2251380407</w:t>
      </w:r>
      <w:r w:rsidR="001B7646" w:rsidRPr="001B7646">
        <w:rPr>
          <w:rFonts w:ascii="Times New Roman" w:eastAsia="Times New Roman" w:hAnsi="Times New Roman" w:cs="Times New Roman"/>
        </w:rPr>
        <w:t>.</w:t>
      </w:r>
      <w:r w:rsidR="00940897" w:rsidRPr="00FE1FBD">
        <w:rPr>
          <w:rFonts w:ascii="Times New Roman" w:eastAsia="Times New Roman" w:hAnsi="Times New Roman" w:cs="Times New Roman"/>
        </w:rPr>
        <w:t xml:space="preserve">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Vadillo J., et al. Adversarial Attacks in Explainable Machine Learning: A Review [J]. WIREs Data Mining and Knowledge Discovery, 2025, e1567.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lastRenderedPageBreak/>
        <w:t xml:space="preserve">Berkani M. R. A., et al. Advances in Federated Learning: Applications and Future Directions [J]. Computers, 2025, 14(4):124.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Dritsas E., et al. Federated Learning for IoT: A Survey of Techniques, Applications and Challenges [J]. IoT, 2025, 14(1):9.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Tran H-Y., Hu J., Yin X., et al. An Efficient Privacy-Enhancing Cross-Silo Federated Learning and Applications for False Data Injection Attack Detection in Smart Grids [J]. IEEE Transactions on Information Forensics and Security, 2023.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Li Y, Wei X, et al. Detection of false data injection attacks in smart grid: A secure federated deep learning approach[J]. IEEE Transactions on Smart Grid, 2022, 13(6): 4862–4872.</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Afrin A, Ardakanian O. Adversarial attacks on machine learning-based state estimation in power distribution systems[C]//Proceedings of ACM e-Energy 2023. New York: ACM, 2023. </w:t>
      </w:r>
    </w:p>
    <w:p w:rsidR="00940897" w:rsidRPr="00FE1FBD" w:rsidRDefault="00597A5D" w:rsidP="00597A5D">
      <w:pPr>
        <w:pStyle w:val="a8"/>
        <w:numPr>
          <w:ilvl w:val="0"/>
          <w:numId w:val="15"/>
        </w:numPr>
        <w:spacing w:after="0" w:line="240" w:lineRule="auto"/>
        <w:rPr>
          <w:rFonts w:ascii="Times New Roman" w:eastAsia="Times New Roman" w:hAnsi="Times New Roman" w:cs="Times New Roman"/>
        </w:rPr>
      </w:pPr>
      <w:r w:rsidRPr="00597A5D">
        <w:rPr>
          <w:rFonts w:ascii="Times New Roman" w:eastAsia="Times New Roman" w:hAnsi="Times New Roman" w:cs="Times New Roman"/>
        </w:rPr>
        <w:t>Khan F, Alturki R, Rahman M A, et al. Trustworthy and reliable deep-learning-based cyberattack detection in industrial IoT[J]. IEEE transactions on industrial info</w:t>
      </w:r>
      <w:r>
        <w:rPr>
          <w:rFonts w:ascii="Times New Roman" w:eastAsia="Times New Roman" w:hAnsi="Times New Roman" w:cs="Times New Roman"/>
        </w:rPr>
        <w:t>rmatics, 2022, 19(1): 1030-1038</w:t>
      </w:r>
      <w:r w:rsidR="00940897" w:rsidRPr="00FE1FBD">
        <w:rPr>
          <w:rFonts w:ascii="Times New Roman" w:eastAsia="Times New Roman" w:hAnsi="Times New Roman" w:cs="Times New Roman"/>
        </w:rPr>
        <w:t xml:space="preserve">.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Cheng G, Lin Y, Abur A, Gómez-Expósito A, Wu W. A survey of power system state estimation using multiple data sources: PMUs, SCADA, AMI, and beyond[J]. IEEE Transactions on Smart Grid, 2024, 15(1). </w:t>
      </w:r>
    </w:p>
    <w:p w:rsidR="00940897" w:rsidRPr="00FE1FBD" w:rsidRDefault="00BB715C" w:rsidP="00BB715C">
      <w:pPr>
        <w:pStyle w:val="a8"/>
        <w:numPr>
          <w:ilvl w:val="0"/>
          <w:numId w:val="15"/>
        </w:numPr>
        <w:spacing w:after="0" w:line="240" w:lineRule="auto"/>
        <w:rPr>
          <w:rFonts w:ascii="Times New Roman" w:eastAsia="Times New Roman" w:hAnsi="Times New Roman" w:cs="Times New Roman"/>
        </w:rPr>
      </w:pPr>
      <w:r w:rsidRPr="00BB715C">
        <w:rPr>
          <w:rFonts w:ascii="Times New Roman" w:eastAsia="Times New Roman" w:hAnsi="Times New Roman" w:cs="Times New Roman"/>
        </w:rPr>
        <w:t xml:space="preserve">Banad Y M, Sharif S S, Rezaei Z. Artificial intelligence and machine learning for smart grids: From foundational paradigms to emerging technologies with digital twin and large language model-driven intelligence[J]. Energy Conversion and </w:t>
      </w:r>
      <w:r>
        <w:rPr>
          <w:rFonts w:ascii="Times New Roman" w:eastAsia="Times New Roman" w:hAnsi="Times New Roman" w:cs="Times New Roman"/>
        </w:rPr>
        <w:t>Management: X, 2025, 28: 101329</w:t>
      </w:r>
      <w:r w:rsidR="00940897" w:rsidRPr="00FE1FBD">
        <w:rPr>
          <w:rFonts w:ascii="Times New Roman" w:eastAsia="Times New Roman" w:hAnsi="Times New Roman" w:cs="Times New Roman"/>
        </w:rPr>
        <w:t xml:space="preserve">.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Kandemir E, Džafić I, Musa A. Predictive digital twin for wind energy systems: a literature review[J]. Energy Informatics, 2024, 7: 31. </w:t>
      </w:r>
    </w:p>
    <w:p w:rsidR="00940897" w:rsidRPr="00FE1FBD" w:rsidRDefault="0032077C" w:rsidP="0032077C">
      <w:pPr>
        <w:pStyle w:val="a8"/>
        <w:numPr>
          <w:ilvl w:val="0"/>
          <w:numId w:val="15"/>
        </w:numPr>
        <w:spacing w:after="0" w:line="240" w:lineRule="auto"/>
        <w:rPr>
          <w:rFonts w:ascii="Times New Roman" w:eastAsia="Times New Roman" w:hAnsi="Times New Roman" w:cs="Times New Roman"/>
        </w:rPr>
      </w:pPr>
      <w:r w:rsidRPr="0032077C">
        <w:rPr>
          <w:rFonts w:ascii="Times New Roman" w:eastAsia="Times New Roman" w:hAnsi="Times New Roman" w:cs="Times New Roman"/>
        </w:rPr>
        <w:t xml:space="preserve">Rahman Z, Yi X, Khalil I. Blockchain-based AI-enabled industry 4.0 CPS protection against advanced persistent threat[J]. IEEE Internet of Things </w:t>
      </w:r>
      <w:r>
        <w:rPr>
          <w:rFonts w:ascii="Times New Roman" w:eastAsia="Times New Roman" w:hAnsi="Times New Roman" w:cs="Times New Roman"/>
        </w:rPr>
        <w:t>Journal, 2022, 10(8): 6769-6778</w:t>
      </w:r>
      <w:r w:rsidR="00940897" w:rsidRPr="00FE1FBD">
        <w:rPr>
          <w:rFonts w:ascii="Times New Roman" w:eastAsia="Times New Roman" w:hAnsi="Times New Roman" w:cs="Times New Roman"/>
        </w:rPr>
        <w:t xml:space="preserve">.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Deng S, Li H, Guo J, et al. Data-driven and privacy-preserving risk assessment for power grids[J]. Communications Engineering (Nature), 2024, 3: 36.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Huang P, Hoang T, Li Y, Shi E, Suh G E. Efficient privacy-preserving machine learning with lightweight trusted hardware[J]. Proceedings on Privacy Enhancing Technologies (PoPETs), 2024(4): 383–404.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Ali M, Khan S, Rehman A U, et al. Privacy-preserving machine learning for IoT-integrated smart grids: a review[J]. Energies, 2025, 18(10): 2515.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Li Y, Li J, Chen L. Dynamic state estimation of synchronous machines based on robust cubature Kalman filter under complex measurement noise conditions[J]. Transactions of china electrotechnical society, 2019, 34(17): 3651-3660.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Bayer D, Körber M, Allaerts D, et al. A digital twin of a local energy system based on real smart meter data[J]. Energy Informatics, 2023, 6: 23.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Yan X, Zhou G, Quevedo D E, Murguia C, Chen B, Huang H. Privacy-preserving state estimation in the presence of eavesdroppers: a survey[Preprint][J]. arXiv:2402.15738, 2024.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Riya F F, Hoque S, Sun J S, Li J, Qi H. Mitigating adversarial effects of false data injection attacks in power grid[Preprint][J]. arXiv:2301.12487, 2023.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Sayghe A, Hu Y, Zografopoulos I, et al. A survey of machine learning methods for detecting false data injection attacks in power systems[Preprint][J]. arXiv:2008.06926, 2020.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Bhattacharjee A, Saha T K, Verma A, Mishra S. DeeBBAA: A benchmark deep black-box adversarial attack against cyber-physical power systems[Preprint][J]. arXiv:2303.09024, 2023.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Lai Y-C (Y.C. Lai Lab). Detecting attacks and estimating states of power grids from partial information[Preprint]. Arizona State University, 2024. </w:t>
      </w:r>
    </w:p>
    <w:p w:rsidR="00940897" w:rsidRPr="00FE1FBD" w:rsidRDefault="007A607B" w:rsidP="007A607B">
      <w:pPr>
        <w:pStyle w:val="a8"/>
        <w:numPr>
          <w:ilvl w:val="0"/>
          <w:numId w:val="15"/>
        </w:numPr>
        <w:spacing w:after="0" w:line="240" w:lineRule="auto"/>
        <w:rPr>
          <w:rFonts w:ascii="Times New Roman" w:eastAsia="Times New Roman" w:hAnsi="Times New Roman" w:cs="Times New Roman"/>
        </w:rPr>
      </w:pPr>
      <w:r w:rsidRPr="007A607B">
        <w:rPr>
          <w:rFonts w:ascii="Times New Roman" w:eastAsia="Times New Roman" w:hAnsi="Times New Roman" w:cs="Times New Roman"/>
        </w:rPr>
        <w:lastRenderedPageBreak/>
        <w:t>Keshk M, Moustafa N, Sitnikova E, et al. Privacy-preserving techniques for protecting large-scale data of cyber-physical systems[C]//2020 16th international conference on mobility, sensing and networking (MSN). IEEE, 2020: 711-717.</w:t>
      </w:r>
      <w:r w:rsidR="00940897" w:rsidRPr="00FE1FBD">
        <w:rPr>
          <w:rFonts w:ascii="Times New Roman" w:eastAsia="Times New Roman" w:hAnsi="Times New Roman" w:cs="Times New Roman"/>
        </w:rPr>
        <w:t xml:space="preserve">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Al-Zubaidi H, Khan R, Khan M A, et al. Digital twin technology for renewable energy, smart grids, and sustainable cities: a comprehensive review[J]. IET Smart Grid, 2025, 8(4): e70026.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Ali M, Ismail M, Khan S, et al. Privacy-preserving federated learning for energy applications[J]. IET Cyber-Physical Systems: Theory &amp; Applications, 2025, 10(2): e70013.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Ba L, Chen Z, Sun Y, et al. Analysis of digital twin applications in energy efficiency: a systematic review[J]. Sustainability, 2025, 17(8): 3560.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Chaudhary A, Sharma S, Singh M, et al. Robust power system state estimation using physics-informed neural networks[Preprint][J]. arXiv:2507.05874, 2025.</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Wang Y, Cui Y, et al. Collaborative optimization of multi-microgrids system with shared energy storage based on multi-agent stochastic game and reinforcement learning[J]. Energy, 2023, 280: 128182.</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Selvi K, Dilip G. Enhancing cyber-physical systems security: A review of deep learning and blockchain integration[C]//2024 5th International Conference on Image Processing and Capsule Networks (ICIPCN). IEEE, 2024: 725-734.</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Chen L, Hui X, et al. Dynamic state estimation for integrated natural gas and electric power systems[C]//2021 IEEE/IAS Industrial and Commercial Power System Asia (I&amp;CPS Asia). IEEE, 2021: 397-402.</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Zografopoulos I, Srivastava A, Konstantinou C, et al. Cyber-physical interdependence for power system operation and control[J]. IEEE Transactions on Smart Grid, 2025.</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Longo A, Aghazadeh Ardebili A, Lazari A, et al. Cyber–Physical Resilience: Evolution of Concept, Indicators, and Legal Frameworks[J]. Electronics, 2025, 14(8): 1684.</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Mishra D, Mishra R K, Agarwal R. Cyber-Physical Systems and Internet of Things (IoT): Convergence, Architectures, and Engineering Applications[J]. Advances in Engineering Science and Applications,, 2025: 17-46.</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hint="eastAsia"/>
        </w:rPr>
        <w:t>Lucia Agnes Beena T, Vijaykumar V, Mercy P. Security Challenges in CPS‐Based Smart Energy Management[J]. Cyber Physical Energy Systems, 2024: 255-290.</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Qu Z, Dong Y, Qu N, et al. Survivability Evaluation Method for Cascading Failure of Electric Cyber Physical System Considering Load Optimal Allocation[J]. Mathematical Problems in Engineering, 2019, 2019: 2817586.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Pinto R, Torres P M B, Lohweg V. Closing Editorial: Advances and future directions in autonomous systems for cyber-physical systems and smart industry[J]. Applied Sciences, 2024, 14(22): 10673.</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Li Y, Gu X. Feature selection for transient stability assessment based on improved maximal relevance and minimal redundancy criterion[J]. Proceedings of the CSEE, 2013, 33: 179-186.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Chen L, Gu S, Wang Y, et al. Stacked Autoencoder Framework of False Data Injection Attack Detection in Smart Grid[J]. Mathematical Problems in Engineering, 2021, 2021(1): 2014345.</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Adil M, Farouk A, Abulkasim H, et al. NG-ICPS: next generation industrial-CPS, security threats in the era of artificial intelligence, and open challenges with future research directions[J]. IEEE Internet of Things Journal, 2024, 12(2): 1343-1367.</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Zhang J, Tian J, Luo H, et al. Prognostics for the sustainability of industrial cyber-physical systems: From an artificial intelligence perspective[J]. IEEE Transactions on Industrial Cyber-Physical Systems, 2024.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Li Y, Zhang S, Li Y. AI-enhanced resilience in power systems: Adversarial deep learning for robust short-term voltage stability assessment under cyber-attacks[J]. Chaos, Solitons &amp; Fractals, 2025, 196: 116406.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lastRenderedPageBreak/>
        <w:t>Ginzburg-Ganz E, Horodi E D, Shadafny O, et al. Statistical Foundations of Generative AI for Optimal Control Problems in Power Systems: Comprehensive Review and Future Directions[J]. Energies, 2025, 18(10): 2461.</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Tooki O, Popoola O. Intelligent-Based Techniques for Detection, Identification and Mitigation of Cyberattacks in Cyber-Physical Power Systems: A Review[J]. 2024 IEEE PES/IAS PowerAfrica, 2024: 01-05.</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Sanjalawe Y, Fraihat S, Makhadmeh S N, et al. AI-Powered Smart Grids in the 6G Era: A Comprehensive Survey on Security and Intelligent Energy Systems[J]. IEEE Open Journal of the Communications Society, 2025.</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Li Y, Ma W, Li Y, et al. Enhancing cyber-resilience in integrated energy system scheduling with demand response using deep reinforcement learning[J]. Applied Energy, 2025, 379: 124831.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Luo H. Security and privacy in industrial cyber-physical systems[J]. Cyber Physical System 2.0: Communication and Computational Technologies, 2024: 221.</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hint="eastAsia"/>
        </w:rPr>
        <w:t>Parizad A, Baghaee H R, Alizadeh V, et al. Emerging Technologies and Future Trends in Cyber‐Physical Power Systems: Toward a New Era of Innovations[J]. Smart Cyber‐Physical Power Systems: Solutions from Emerging Technologies, 2025, 2: 525-565.</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Mrad M, Chabir K. Cyber-Physical Systems and Artificial Intelligence: State of Art and Research Agenda[C]//2024 IEEE International Multi-Conference on Smart Systems &amp; Green Process (IMC-SSGP). IEEE, 2024: 1-7.</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Zhang G. Toward Mission-Centric Cyber-Physical Defense: Coordinated, Explainable, and Human-in-the-Loop Strategies for Power CPS[J]. 2025</w:t>
      </w:r>
      <w:r w:rsidR="009E6B2B">
        <w:rPr>
          <w:rFonts w:ascii="Times New Roman" w:eastAsia="Times New Roman" w:hAnsi="Times New Roman" w:cs="Times New Roman"/>
        </w:rPr>
        <w:t>,56(3):521-532</w:t>
      </w:r>
      <w:r w:rsidRPr="00FE1FBD">
        <w:rPr>
          <w:rFonts w:ascii="Times New Roman" w:eastAsia="Times New Roman" w:hAnsi="Times New Roman" w:cs="Times New Roman"/>
        </w:rPr>
        <w:t>.</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Qu Z, Bo X, Yu T, et al. Active and Passive Hybrid Detection Method for Power CPS False Data Injection Attacks with Improved AKF and GRU-CNN[J]. IET Renewable Power Generation, 2022, 16: 1490-1508.</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Whig P, Aggarwal A, Ganeshan V, et al. AI for Secure and Resilient Cyber-Physical Systems[M]//Artificial Intelligence Solutions for Cyber-Physical Systems. Auerbach Publications, 2024: 40-63.</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Abshari D, Sridhar M. A survey of anomaly detection in cyber-physical systems[J]. arXiv preprint arXiv:2502.13256, 2025.</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Bindra S S, Aggarwal A. Security in cyber physical systems: Transformation and challenges[J]. Journal of Autonomous Intelligence, 2024, 7(4): 1-19.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Qu Z, Xie Q, Liu Y, et al. Power Cyber-Physical System Risk Area Prediction Using Dependent Markov Chain and Improved Grey Wolf Optimization[J]. IEEE Access, 2020, 8: 82844-82854.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Salhab W, Ameyed D, Jaafar F, et al. A systematic literature review on ai safety: Identifying trends, challenges and future directions[J]. IEEE Access, 2024.</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Wang X, Li S, Rahman M A. A comprehensive survey on enabling techniques in secure and resilient smart grids[J]. Electronics, 2024, 13(11): 2177.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Tang K H P Y, Ghanem M C, Gasiorowski P, et al. Synchronisation, optimisation, and adaptation of machine learning techniques for computer vision in cyber-physical systems: A comprehensive analysis[J]. IET Cyber-Physical Systems: Theory &amp; Applications, 2025: 1-43.</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Aslam M M, Ali S, Gul H, et al. Cyber Security in Cyber Physical Systems: Challenges and Opportunities[J]. AI-Enhanced Solutions for Sustainable Cybersecurity, 2025: 149-180.</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Wang L, Xu P, Qu Z, et al. Coordinated Cyber-Attack Detection Model of Cyber-Physical Power System Based on the Operating State Data Link[J]. Frontiers in Energy Research, 2021, 9: 666130.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Rajendran S, Shilpa S P, Ramavenkateswaran N. Cyber-Physical System: Advances and Applications in Cyber Security[J]. Cyber Physical Systems-Advances and Applications, 2024: 106-133.</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lastRenderedPageBreak/>
        <w:t>Singh J, Singh P, Kaur R, et al. Privacy and Security in the Metaverse: Trends, Challenges, and Future Directions[J]. IEEE Access, 2025,13:120209-120243.</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Manias D M, Saber A M, Radaideh M I, et al. Trends in smart grid cyber-physical security: Components, threats and solutions[J]. IEEE Access, 2024.</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Qu Z, Zhang Y, Qu N, et al. Method for Quantitative Estimation of the Risk Propagation Threshold in Electric Power CPS Based on Seepage Probability[J]. IEEE Access, 2018, 6: 68813-68823.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Ryalat M, Almtireen N, Al-refai G, et al. Research and education in robotics: A comprehensive review, trends, challenges, and future directions[J]. Journal of Sensor and Actuator Networks, 2025, 14(4): 76.</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Kou L, Wu J, Zhang F, et al. Image encryption for Offshore wind power based on 2D-LCLM and Zhou Yi Eight Trigrams[J]. International Journal of Bio-Inspired Computation, 2023, 22(1): 53-64.</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Patnaik B, Mishra M, Hasan S. Cyber-physical security in smart grids: a holistic view with machine learning integration[M]//Machine Learning for Cyber Physical System: Advances and Challenges. Cham: Springer Nature Switzerland, 2024: 313-344.</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Alserhani F. Intrusion Detection and Real-Time Adaptive Security in Medical IoT Using a Cyber-Physical System Design[J]. Sensors, 2025, 25(15): 4720.</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Premavathi T, Jain R, Thorat V V, et al. Harnessing Real-Time Data for Intelligent Decision-Making in Cyber-Physical Systems[M]//Navigating Cyber-Physical Systems With Cutting-Edge Technologies. IGI Global Scientific Publishing, 2025: 257-286.</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Qu Z, Dong Y, Qu N, et al. Quantitative Assessment of Survivability of Power CPS Considering Load Optimization and Reconfiguration[J]. Automation of Electric Power Systems, 2019, 43(6): 15-24.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Ardebili A A, Padoano E, Longo A, et al. NextGen Infrastructures: Enhancing Cyber-Physical Resilience/Sustainability by Virtual Energy Storage[C]//Journal of Physics: Conference Series. IOP Publishing, 2024, 2893(1): 012003.</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Calabrò A, Cambiaso E, Cheminod M, et al. A Methodological Approach to Securing Cyber-Physical Systems for Critical Infrastructures[J]. Future Internet, 2024, 16(11): 418.</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Liu C, Ye J, Fang G, et al. Resilience framework for power electronic systems against cyber-physical attacks: a review[J]. IEEE Open Journal of Power Electronics, 2024.</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Mejdi H, Elmadssia S, Koubaa M, et al. A comprehensive survey on game theory applications in cyber-physical system security: attack models, security analyses, and machine learning classifications[J]. IEEE Access, 2024, 12: 163638-163653.</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Chen L, et al. Robust Dynamic State Estimator of Integrated Energy Systems Based on Natural Gas Partial Differential Equations[J]. IEEE Transactions on Industry Applications, 2022, 58(3): 3303-3312.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Verma M. The Future of Self-Aware Cyber-Physical Systems: Trends and Challenges[J]. Future, 2024, 8(2).</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Whig P, Aggarwal A, Ganeshan V, et al. AI for Secure and Resilient Cyber-Physical Systems[M]//Artificial Intelligence Solutions for Cyber-Physical Systems. Auerbach Publications, 2024: 40-63.</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Bondok A H, Mahmoud M, Badr M M, et al. A Distillation-Based Attack Against Adversarial Training Defense for Smart Grid Federated Learning[C]//2024 IEEE 21st Consumer Communications &amp; Networking Conference (CCNC). IEEE, 2024: 963-968.</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Li Y, Li Z, Chen L. Dynamic State Estimation of Generators Under Cyber Attacks[J]. IEEE Access, 2019, 7: 125252-125267.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hint="eastAsia"/>
        </w:rPr>
        <w:t>Ji R, Padha D, Singh Y, et al. Review of intrusion detection system in cyber‐physical system based networks: Characteristics, industrial protocols, attacks, data sets and challenges[J]. Transactions on Emerging Telecommunications Technologies, 2024, 35(9):</w:t>
      </w:r>
      <w:r w:rsidRPr="00FE1FBD">
        <w:rPr>
          <w:rFonts w:ascii="Times New Roman" w:eastAsia="Times New Roman" w:hAnsi="Times New Roman" w:cs="Times New Roman"/>
        </w:rPr>
        <w:t xml:space="preserve"> e5029.</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hint="eastAsia"/>
        </w:rPr>
        <w:lastRenderedPageBreak/>
        <w:t>Karthiga M, Sangavi N, Kiruthika V R, et al. Defense Strategies for Cognitive Cyber‐Physical Systems in Machine Learning Domain[J]. Securing Cyber‐Physical Systems: Fundamentals, Applications and Challenges, 2026: 309-341.</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Difrina S, Ramkumar M P, Selvan G S R E. Trust Based Federated Learning for Privacy-preserving in Connected Smart Communities[C]//2025 Second International Conference on Cognitive Robotics and Intelligent Systems (ICC-ROBINS). IEEE, 2025: 409-418.</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de Sá A O, Prado C B, Flavio M L, et al. Intelligent Attacks on Cyber-Physical Systems and Critical Infrastructures[M]//Modern Technologies Enabling Innovative Methods for Maritime Monitoring and Strengthening Resilience in Maritime Critical Infrastructures. IOS Press, 2024: 332-351.</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Qu Z, Dong Y, Li Y, et al. Localization of Dummy Data Injection Attacks in Power Systems Considering Incomplete Topological Information: A Spatio-Temporal Graph Wavelet Convolutional Neural Network Approach[J]. Applied Energy, 2024, 360: 122736.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Shabbir A, Manzoor H U, Zoha A, et al. Smart grid security through fusion-enhanced federated learning against adversarial attacks[J]. Engineering Applications of Artificial Intelligence, 2025, 157: 111169.</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Khraisat A, Alazab A, Singh S, et al. Survey on federated learning for intrusion detection system: Concept, architectures, aggregation strategies, challenges, and future directions[J]. ACM Computing Surveys, 2024, 57(1): 1-38.</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 xml:space="preserve">ur Rehman S, Alhulayyil H, Alzahrani T, et al. Intrusion detection system framework for cyber-physical systems[J]. Egyptian Informatics Journal, 2025, 30: 100600. </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Joshan A. Emerging trends and advanced techniques in power system optimization for future smart grids[J]. Power, Control, and Data Processing Systems, 2025, 2(2): e724879.</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Mehmood F, Riaz U, Khalid N. A Formal Verification Framework for Ensuring Safety in Autonomous Cyber-Physical Systems Operating in Unstructured Environments[J]. Journal of Computational Intelligence for Hybrid Cloud and Edge Computing Networks, 2025, 9(4): 1-11.</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Li Y, Li J, Qi J, et al. Robust cubature Kalman filter for dynamic state estimation of synchronous machines under unknown measurement noise statistics[J]. IEEE Access, 2019, 7: 29139-29148.</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Gupta P, Sengupta B, Nandi S. Federated Learning-Driven Intrusion Detection for Cybersecurity in Smart Distribution system[C]//2024 IEEE Globecom Workshops (GC Wkshps). IEEE, 2024: 1-6.</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Ding Z, Wang W, Li X, et al. Identifying alternately poisoning attacks in federated learning online using trajectory anomaly detection method[J]. Scientific Reports, 2024, 14(1): 20269.</w:t>
      </w:r>
    </w:p>
    <w:p w:rsidR="00940897" w:rsidRPr="00FE1FBD" w:rsidRDefault="00940897" w:rsidP="00940897">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Cho D S, Cho J M, Kim W T. A Generative Digital Twin for Continually Enhancing the Intended Functional Safety of Cyber–Physical Systems[J]. IEEE Transactions on Reliability, 2024.</w:t>
      </w:r>
    </w:p>
    <w:p w:rsidR="00C5274B" w:rsidRPr="00FE1FBD" w:rsidRDefault="00C5274B" w:rsidP="00C5274B">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Meera V M, Arjun K P. Challenges in Ensuring Security for Smart Energy Management Systems Based on CPS[J]. Cyber Physical Energy Systems, 2024: 217-254.</w:t>
      </w:r>
    </w:p>
    <w:p w:rsidR="00F14DB9" w:rsidRPr="00FE1FBD" w:rsidRDefault="00F14DB9" w:rsidP="00F14DB9">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Mchirgui N, Quadar N, Kraiem H, et al. The applications and challenges of digital twin technology in smart grids: A comprehensive review[J]. Applied Sciences, 2024, 14(23): 10933.</w:t>
      </w:r>
    </w:p>
    <w:p w:rsidR="00F14DB9" w:rsidRPr="00FE1FBD" w:rsidRDefault="00986A3D" w:rsidP="00986A3D">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Kandasamy M, Shanmugam R, Patel V, et al. Design challenges in cyber-physical systems: An overview of privacy threats in ubiquitous computing[J]. Ubiquitous and Transparent Security, 2024: 207-235.</w:t>
      </w:r>
    </w:p>
    <w:p w:rsidR="00986A3D" w:rsidRPr="00FE1FBD" w:rsidRDefault="00986A3D" w:rsidP="00986A3D">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War M R, Singh Y, Sheikh Z A. FedSec-CPS: Federated Learning Based Security Framework for Security of Cyber-Physical Systems[J]. Procedia Computer Science, 2025, 259: 1837-1844.</w:t>
      </w:r>
    </w:p>
    <w:p w:rsidR="00986A3D" w:rsidRPr="00FE1FBD" w:rsidRDefault="00FC6623" w:rsidP="00FC6623">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lastRenderedPageBreak/>
        <w:t>Ran X, Ma L. An Extended False Data Injection Attack via Deep Reinforcement Learning: Attack Model and Countermeasures in Cyber-Physical Power Systems[J]. IEEE Transactions on Automation Science and Engineering, 2025.</w:t>
      </w:r>
    </w:p>
    <w:p w:rsidR="007B6962" w:rsidRPr="00FE1FBD" w:rsidRDefault="007B6962" w:rsidP="007B6962">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Modaber M, Hendriks M, Geilen M, et al. A method for building trustworthy hybrid performance models for cyber-physical systems of systems[J]. IEEE Access, 2024, 12: 92733-92752.</w:t>
      </w:r>
    </w:p>
    <w:p w:rsidR="007B6962" w:rsidRPr="00FE1FBD" w:rsidRDefault="007B6962" w:rsidP="007B6962">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Mishchenko D, Oleinikova I, Erdődi L, et al. Multidomain cyber-physical testbed for power system vulnerability assessment[J]. IEEE Access, 2024, 12: 38135-38149.</w:t>
      </w:r>
    </w:p>
    <w:p w:rsidR="007B6962" w:rsidRPr="00FE1FBD" w:rsidRDefault="007B6962" w:rsidP="007B6962">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Dai J, Dai Z, Thing V L L, et al. Cyber-Resilience Enhancement with Cross-Domain Software-Defined Network for Cyber-Physical Microgrids against Denial of Service Attacks[J]. IEEE Transactions on Industrial Cyber-Physical Systems, 2025.</w:t>
      </w:r>
    </w:p>
    <w:p w:rsidR="009161F8" w:rsidRPr="00FE1FBD" w:rsidRDefault="009161F8" w:rsidP="009161F8">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Lu P, Zhang L, Liu M, et al. Recovery from adversarial attacks in cyber-physical systems: Shallow, deep, and exploratory works[J]. ACM Computing Surveys, 2024, 56(8): 1-31.</w:t>
      </w:r>
    </w:p>
    <w:p w:rsidR="009161F8" w:rsidRPr="00FE1FBD" w:rsidRDefault="009161F8" w:rsidP="009161F8">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Fu H. Enhancing the Safety of Machine Learning Systems and Cyber-Physical Systems Against Cyber Attacks[D]. New York University Tandon School of Engineering, 2024.</w:t>
      </w:r>
    </w:p>
    <w:p w:rsidR="009161F8" w:rsidRPr="00FE1FBD" w:rsidRDefault="009161F8" w:rsidP="009161F8">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Chatterjee A, Huang H, Malak R, et al. Extending Ecological Network Analysis to Design Resilient Cyber-Physical System of Systems[J]. IEEE Open Journal of Systems Engineering, 2024, 2: 38-49.</w:t>
      </w:r>
    </w:p>
    <w:p w:rsidR="00490F69" w:rsidRPr="00FE1FBD" w:rsidRDefault="00490F69" w:rsidP="00490F69">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Kaur G, Mehta K, Rajvanshi S. Cyber-Physical System Security Attack Detection Methods and Models[M]//Intelligent Security Solutions for Cyber-Physical Systems. Chapman and Hall/CRC, 2024: 35-50.</w:t>
      </w:r>
    </w:p>
    <w:p w:rsidR="00490F69" w:rsidRPr="00FE1FBD" w:rsidRDefault="00863610" w:rsidP="00863610">
      <w:pPr>
        <w:pStyle w:val="a8"/>
        <w:numPr>
          <w:ilvl w:val="0"/>
          <w:numId w:val="15"/>
        </w:numPr>
        <w:spacing w:after="0" w:line="240" w:lineRule="auto"/>
        <w:rPr>
          <w:rFonts w:ascii="Times New Roman" w:eastAsia="Times New Roman" w:hAnsi="Times New Roman" w:cs="Times New Roman"/>
        </w:rPr>
      </w:pPr>
      <w:r w:rsidRPr="00FE1FBD">
        <w:rPr>
          <w:rFonts w:ascii="Times New Roman" w:eastAsia="Times New Roman" w:hAnsi="Times New Roman" w:cs="Times New Roman"/>
        </w:rPr>
        <w:t>Kumar K, Saini P, Prakash A, et al. Real-Time Cyber-Physical Co-Simulation for Resilient Wide-Area Damping Control Against FDIAs and Communication Disruptions[J]. IEEE Transactions on Industry Applications, 2025.</w:t>
      </w:r>
    </w:p>
    <w:p w:rsidR="0033656F" w:rsidRPr="00F03768" w:rsidRDefault="0033656F" w:rsidP="00F03768">
      <w:pPr>
        <w:spacing w:before="100" w:beforeAutospacing="1" w:after="100" w:afterAutospacing="1" w:line="240" w:lineRule="auto"/>
        <w:rPr>
          <w:rFonts w:ascii="Times New Roman" w:eastAsia="Times New Roman" w:hAnsi="Times New Roman" w:cs="Times New Roman"/>
          <w:sz w:val="24"/>
          <w:szCs w:val="24"/>
        </w:rPr>
      </w:pPr>
    </w:p>
    <w:sectPr w:rsidR="0033656F" w:rsidRPr="00F0376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4586" w:rsidRDefault="00234586" w:rsidP="00622AA5">
      <w:pPr>
        <w:spacing w:after="0" w:line="240" w:lineRule="auto"/>
      </w:pPr>
      <w:r>
        <w:separator/>
      </w:r>
    </w:p>
  </w:endnote>
  <w:endnote w:type="continuationSeparator" w:id="0">
    <w:p w:rsidR="00234586" w:rsidRDefault="00234586" w:rsidP="00622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4586" w:rsidRDefault="00234586" w:rsidP="00622AA5">
      <w:pPr>
        <w:spacing w:after="0" w:line="240" w:lineRule="auto"/>
      </w:pPr>
      <w:r>
        <w:separator/>
      </w:r>
    </w:p>
  </w:footnote>
  <w:footnote w:type="continuationSeparator" w:id="0">
    <w:p w:rsidR="00234586" w:rsidRDefault="00234586" w:rsidP="00622A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6286A"/>
    <w:multiLevelType w:val="multilevel"/>
    <w:tmpl w:val="4ECC4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A23EDB"/>
    <w:multiLevelType w:val="multilevel"/>
    <w:tmpl w:val="969C58C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5E7940"/>
    <w:multiLevelType w:val="multilevel"/>
    <w:tmpl w:val="9976AA9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4C7986"/>
    <w:multiLevelType w:val="multilevel"/>
    <w:tmpl w:val="B7B8C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72580D"/>
    <w:multiLevelType w:val="multilevel"/>
    <w:tmpl w:val="969C58C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BA1909"/>
    <w:multiLevelType w:val="multilevel"/>
    <w:tmpl w:val="31141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335BC5"/>
    <w:multiLevelType w:val="hybridMultilevel"/>
    <w:tmpl w:val="4FFCCE68"/>
    <w:lvl w:ilvl="0" w:tplc="3D10FEE8">
      <w:start w:val="1"/>
      <w:numFmt w:val="decimal"/>
      <w:lvlText w:val="[%1]"/>
      <w:lvlJc w:val="left"/>
      <w:pPr>
        <w:ind w:left="360" w:hanging="360"/>
      </w:pPr>
      <w:rPr>
        <w:rFonts w:hint="eastAsia"/>
      </w:rPr>
    </w:lvl>
    <w:lvl w:ilvl="1" w:tplc="653640B2">
      <w:start w:val="1"/>
      <w:numFmt w:val="upperRoman"/>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1EE50CC"/>
    <w:multiLevelType w:val="multilevel"/>
    <w:tmpl w:val="CD22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235692"/>
    <w:multiLevelType w:val="multilevel"/>
    <w:tmpl w:val="CD98C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F030C56"/>
    <w:multiLevelType w:val="multilevel"/>
    <w:tmpl w:val="E59A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DD549A"/>
    <w:multiLevelType w:val="multilevel"/>
    <w:tmpl w:val="B1C2F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A425BAC"/>
    <w:multiLevelType w:val="multilevel"/>
    <w:tmpl w:val="293EB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AA40488"/>
    <w:multiLevelType w:val="multilevel"/>
    <w:tmpl w:val="FEE68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4803F15"/>
    <w:multiLevelType w:val="multilevel"/>
    <w:tmpl w:val="969C58C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6172EF0"/>
    <w:multiLevelType w:val="multilevel"/>
    <w:tmpl w:val="C0587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1748BF"/>
    <w:multiLevelType w:val="multilevel"/>
    <w:tmpl w:val="2B248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1"/>
  </w:num>
  <w:num w:numId="3">
    <w:abstractNumId w:val="14"/>
  </w:num>
  <w:num w:numId="4">
    <w:abstractNumId w:val="4"/>
  </w:num>
  <w:num w:numId="5">
    <w:abstractNumId w:val="5"/>
  </w:num>
  <w:num w:numId="6">
    <w:abstractNumId w:val="15"/>
  </w:num>
  <w:num w:numId="7">
    <w:abstractNumId w:val="10"/>
  </w:num>
  <w:num w:numId="8">
    <w:abstractNumId w:val="9"/>
  </w:num>
  <w:num w:numId="9">
    <w:abstractNumId w:val="12"/>
  </w:num>
  <w:num w:numId="10">
    <w:abstractNumId w:val="3"/>
  </w:num>
  <w:num w:numId="11">
    <w:abstractNumId w:val="8"/>
  </w:num>
  <w:num w:numId="12">
    <w:abstractNumId w:val="1"/>
  </w:num>
  <w:num w:numId="13">
    <w:abstractNumId w:val="7"/>
  </w:num>
  <w:num w:numId="14">
    <w:abstractNumId w:val="13"/>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768"/>
    <w:rsid w:val="00007042"/>
    <w:rsid w:val="000078BE"/>
    <w:rsid w:val="00010B07"/>
    <w:rsid w:val="00031380"/>
    <w:rsid w:val="000316AB"/>
    <w:rsid w:val="00035DFD"/>
    <w:rsid w:val="00044BD1"/>
    <w:rsid w:val="00067C2B"/>
    <w:rsid w:val="00082794"/>
    <w:rsid w:val="00087C99"/>
    <w:rsid w:val="000966DD"/>
    <w:rsid w:val="00096A87"/>
    <w:rsid w:val="000A02AA"/>
    <w:rsid w:val="000A72CF"/>
    <w:rsid w:val="000C77A9"/>
    <w:rsid w:val="000E718A"/>
    <w:rsid w:val="000F40F9"/>
    <w:rsid w:val="000F4684"/>
    <w:rsid w:val="001115D6"/>
    <w:rsid w:val="00115D6C"/>
    <w:rsid w:val="001201AF"/>
    <w:rsid w:val="00154609"/>
    <w:rsid w:val="001743B4"/>
    <w:rsid w:val="00195E40"/>
    <w:rsid w:val="00196CC0"/>
    <w:rsid w:val="001A4975"/>
    <w:rsid w:val="001B3E0F"/>
    <w:rsid w:val="001B7646"/>
    <w:rsid w:val="001C27B7"/>
    <w:rsid w:val="001C41B3"/>
    <w:rsid w:val="001E37D1"/>
    <w:rsid w:val="00202040"/>
    <w:rsid w:val="002066AC"/>
    <w:rsid w:val="00212627"/>
    <w:rsid w:val="00212C60"/>
    <w:rsid w:val="002142E1"/>
    <w:rsid w:val="0021566F"/>
    <w:rsid w:val="00216ED3"/>
    <w:rsid w:val="00231731"/>
    <w:rsid w:val="00234586"/>
    <w:rsid w:val="00234F24"/>
    <w:rsid w:val="00237105"/>
    <w:rsid w:val="0023794B"/>
    <w:rsid w:val="00241FC8"/>
    <w:rsid w:val="00253CDF"/>
    <w:rsid w:val="0025419A"/>
    <w:rsid w:val="00255EB6"/>
    <w:rsid w:val="0026084B"/>
    <w:rsid w:val="00265FFD"/>
    <w:rsid w:val="00267671"/>
    <w:rsid w:val="00270653"/>
    <w:rsid w:val="002903FE"/>
    <w:rsid w:val="00291B66"/>
    <w:rsid w:val="002B0821"/>
    <w:rsid w:val="002B2CD7"/>
    <w:rsid w:val="002C76E3"/>
    <w:rsid w:val="002D6933"/>
    <w:rsid w:val="002E28B5"/>
    <w:rsid w:val="002F0531"/>
    <w:rsid w:val="00310BEA"/>
    <w:rsid w:val="0032077C"/>
    <w:rsid w:val="0032349D"/>
    <w:rsid w:val="003332E3"/>
    <w:rsid w:val="0033656F"/>
    <w:rsid w:val="00340620"/>
    <w:rsid w:val="0034322C"/>
    <w:rsid w:val="00350B01"/>
    <w:rsid w:val="00360CA8"/>
    <w:rsid w:val="003654AD"/>
    <w:rsid w:val="00365F0A"/>
    <w:rsid w:val="003677AA"/>
    <w:rsid w:val="00373AEE"/>
    <w:rsid w:val="00381958"/>
    <w:rsid w:val="00387860"/>
    <w:rsid w:val="00393A7A"/>
    <w:rsid w:val="00394B2E"/>
    <w:rsid w:val="003A150F"/>
    <w:rsid w:val="003B5963"/>
    <w:rsid w:val="003B5A95"/>
    <w:rsid w:val="003B6D67"/>
    <w:rsid w:val="003C712C"/>
    <w:rsid w:val="003D4E0D"/>
    <w:rsid w:val="003D51CE"/>
    <w:rsid w:val="003F1596"/>
    <w:rsid w:val="003F53C8"/>
    <w:rsid w:val="003F7793"/>
    <w:rsid w:val="00400CAF"/>
    <w:rsid w:val="00402BB2"/>
    <w:rsid w:val="00414CD6"/>
    <w:rsid w:val="0041794A"/>
    <w:rsid w:val="00422A82"/>
    <w:rsid w:val="00425820"/>
    <w:rsid w:val="00435F02"/>
    <w:rsid w:val="00457E8B"/>
    <w:rsid w:val="004844BC"/>
    <w:rsid w:val="004851CC"/>
    <w:rsid w:val="0048610C"/>
    <w:rsid w:val="00490F69"/>
    <w:rsid w:val="004A119D"/>
    <w:rsid w:val="004A2CDD"/>
    <w:rsid w:val="004B1739"/>
    <w:rsid w:val="004B450B"/>
    <w:rsid w:val="004B5105"/>
    <w:rsid w:val="004C0FB6"/>
    <w:rsid w:val="004C5608"/>
    <w:rsid w:val="004C6181"/>
    <w:rsid w:val="004C77B0"/>
    <w:rsid w:val="004E3402"/>
    <w:rsid w:val="004F4021"/>
    <w:rsid w:val="005323E4"/>
    <w:rsid w:val="0053718A"/>
    <w:rsid w:val="00542CEB"/>
    <w:rsid w:val="005465AF"/>
    <w:rsid w:val="00550364"/>
    <w:rsid w:val="00551B3E"/>
    <w:rsid w:val="0055537A"/>
    <w:rsid w:val="00573ED3"/>
    <w:rsid w:val="005812E9"/>
    <w:rsid w:val="005864DA"/>
    <w:rsid w:val="005900AA"/>
    <w:rsid w:val="00592D5E"/>
    <w:rsid w:val="005955D5"/>
    <w:rsid w:val="00597A5D"/>
    <w:rsid w:val="005A1F09"/>
    <w:rsid w:val="005A74D0"/>
    <w:rsid w:val="005B3BAB"/>
    <w:rsid w:val="005B61E6"/>
    <w:rsid w:val="005C30A6"/>
    <w:rsid w:val="005C7A78"/>
    <w:rsid w:val="005D0850"/>
    <w:rsid w:val="005E154E"/>
    <w:rsid w:val="005E3345"/>
    <w:rsid w:val="005E5D40"/>
    <w:rsid w:val="005E6600"/>
    <w:rsid w:val="00606516"/>
    <w:rsid w:val="00622AA5"/>
    <w:rsid w:val="006253FD"/>
    <w:rsid w:val="0064747C"/>
    <w:rsid w:val="006508AD"/>
    <w:rsid w:val="006645FB"/>
    <w:rsid w:val="00665A35"/>
    <w:rsid w:val="00665C36"/>
    <w:rsid w:val="00665D5B"/>
    <w:rsid w:val="0068052D"/>
    <w:rsid w:val="006A1DCF"/>
    <w:rsid w:val="006B4DA8"/>
    <w:rsid w:val="006D3593"/>
    <w:rsid w:val="006D6436"/>
    <w:rsid w:val="006E0555"/>
    <w:rsid w:val="006E3186"/>
    <w:rsid w:val="006F0497"/>
    <w:rsid w:val="006F2685"/>
    <w:rsid w:val="007167B0"/>
    <w:rsid w:val="00723BE4"/>
    <w:rsid w:val="00725C35"/>
    <w:rsid w:val="00730FBC"/>
    <w:rsid w:val="007359A6"/>
    <w:rsid w:val="00735FDF"/>
    <w:rsid w:val="007450C2"/>
    <w:rsid w:val="0075488B"/>
    <w:rsid w:val="00756FCC"/>
    <w:rsid w:val="00757F01"/>
    <w:rsid w:val="00765833"/>
    <w:rsid w:val="00770377"/>
    <w:rsid w:val="00780F09"/>
    <w:rsid w:val="007A607B"/>
    <w:rsid w:val="007B033C"/>
    <w:rsid w:val="007B6962"/>
    <w:rsid w:val="007C7857"/>
    <w:rsid w:val="007D1229"/>
    <w:rsid w:val="007D1E95"/>
    <w:rsid w:val="007E2FCB"/>
    <w:rsid w:val="007E7A27"/>
    <w:rsid w:val="007F041D"/>
    <w:rsid w:val="007F0579"/>
    <w:rsid w:val="008200B2"/>
    <w:rsid w:val="00851858"/>
    <w:rsid w:val="00852C40"/>
    <w:rsid w:val="00855A47"/>
    <w:rsid w:val="0085751F"/>
    <w:rsid w:val="00863610"/>
    <w:rsid w:val="00864100"/>
    <w:rsid w:val="008865B8"/>
    <w:rsid w:val="008908FB"/>
    <w:rsid w:val="008A164E"/>
    <w:rsid w:val="008B313A"/>
    <w:rsid w:val="008C3488"/>
    <w:rsid w:val="008F2B72"/>
    <w:rsid w:val="009161F8"/>
    <w:rsid w:val="0091768C"/>
    <w:rsid w:val="0092057C"/>
    <w:rsid w:val="00921033"/>
    <w:rsid w:val="009230A2"/>
    <w:rsid w:val="00925919"/>
    <w:rsid w:val="00926761"/>
    <w:rsid w:val="00935725"/>
    <w:rsid w:val="00936A27"/>
    <w:rsid w:val="00940897"/>
    <w:rsid w:val="0095140A"/>
    <w:rsid w:val="00951D05"/>
    <w:rsid w:val="009563A2"/>
    <w:rsid w:val="00986A3D"/>
    <w:rsid w:val="009A24CF"/>
    <w:rsid w:val="009A386A"/>
    <w:rsid w:val="009B1EFF"/>
    <w:rsid w:val="009B6224"/>
    <w:rsid w:val="009C3B6F"/>
    <w:rsid w:val="009C6F58"/>
    <w:rsid w:val="009D35F6"/>
    <w:rsid w:val="009E57F0"/>
    <w:rsid w:val="009E6B2B"/>
    <w:rsid w:val="00A022B1"/>
    <w:rsid w:val="00A07F5C"/>
    <w:rsid w:val="00A11198"/>
    <w:rsid w:val="00A171CD"/>
    <w:rsid w:val="00A17F32"/>
    <w:rsid w:val="00A37DDC"/>
    <w:rsid w:val="00A41C8E"/>
    <w:rsid w:val="00A431A7"/>
    <w:rsid w:val="00A47782"/>
    <w:rsid w:val="00A502EE"/>
    <w:rsid w:val="00A648D2"/>
    <w:rsid w:val="00A7074E"/>
    <w:rsid w:val="00A714A5"/>
    <w:rsid w:val="00A737B2"/>
    <w:rsid w:val="00A754A6"/>
    <w:rsid w:val="00A904BD"/>
    <w:rsid w:val="00AA04D7"/>
    <w:rsid w:val="00AD19BD"/>
    <w:rsid w:val="00AD1DA2"/>
    <w:rsid w:val="00AD72C8"/>
    <w:rsid w:val="00AE4C62"/>
    <w:rsid w:val="00AF3999"/>
    <w:rsid w:val="00B00074"/>
    <w:rsid w:val="00B16A18"/>
    <w:rsid w:val="00B1795D"/>
    <w:rsid w:val="00B25FCA"/>
    <w:rsid w:val="00B31C20"/>
    <w:rsid w:val="00B36097"/>
    <w:rsid w:val="00B4480A"/>
    <w:rsid w:val="00B46EE3"/>
    <w:rsid w:val="00B6336C"/>
    <w:rsid w:val="00B678EF"/>
    <w:rsid w:val="00B73D01"/>
    <w:rsid w:val="00B73DC8"/>
    <w:rsid w:val="00B777C6"/>
    <w:rsid w:val="00B91270"/>
    <w:rsid w:val="00B95AA3"/>
    <w:rsid w:val="00BB03E1"/>
    <w:rsid w:val="00BB715C"/>
    <w:rsid w:val="00BC3AF0"/>
    <w:rsid w:val="00BC3CAD"/>
    <w:rsid w:val="00BC55E8"/>
    <w:rsid w:val="00BE09C3"/>
    <w:rsid w:val="00BE683E"/>
    <w:rsid w:val="00C24F6D"/>
    <w:rsid w:val="00C2529D"/>
    <w:rsid w:val="00C26C03"/>
    <w:rsid w:val="00C32805"/>
    <w:rsid w:val="00C44FDD"/>
    <w:rsid w:val="00C5274B"/>
    <w:rsid w:val="00C565B1"/>
    <w:rsid w:val="00C56CD5"/>
    <w:rsid w:val="00C57058"/>
    <w:rsid w:val="00C608B4"/>
    <w:rsid w:val="00C613B6"/>
    <w:rsid w:val="00C635C6"/>
    <w:rsid w:val="00C63927"/>
    <w:rsid w:val="00C713CC"/>
    <w:rsid w:val="00C76A9D"/>
    <w:rsid w:val="00C81B10"/>
    <w:rsid w:val="00C84C93"/>
    <w:rsid w:val="00CA218E"/>
    <w:rsid w:val="00CA293C"/>
    <w:rsid w:val="00CA5C08"/>
    <w:rsid w:val="00CB2657"/>
    <w:rsid w:val="00CB28C2"/>
    <w:rsid w:val="00CC5226"/>
    <w:rsid w:val="00CD1D37"/>
    <w:rsid w:val="00D105BB"/>
    <w:rsid w:val="00D123D4"/>
    <w:rsid w:val="00D13F61"/>
    <w:rsid w:val="00D169F9"/>
    <w:rsid w:val="00D60CC8"/>
    <w:rsid w:val="00D73D06"/>
    <w:rsid w:val="00D8262C"/>
    <w:rsid w:val="00D859BD"/>
    <w:rsid w:val="00DA1401"/>
    <w:rsid w:val="00DA24D3"/>
    <w:rsid w:val="00DC0746"/>
    <w:rsid w:val="00DC5CB2"/>
    <w:rsid w:val="00DE3250"/>
    <w:rsid w:val="00DE3C9D"/>
    <w:rsid w:val="00DE4CDB"/>
    <w:rsid w:val="00E20DE7"/>
    <w:rsid w:val="00E25650"/>
    <w:rsid w:val="00E25684"/>
    <w:rsid w:val="00E30089"/>
    <w:rsid w:val="00E37785"/>
    <w:rsid w:val="00E37BB5"/>
    <w:rsid w:val="00E65924"/>
    <w:rsid w:val="00E72EAD"/>
    <w:rsid w:val="00E72FDA"/>
    <w:rsid w:val="00E75702"/>
    <w:rsid w:val="00E84797"/>
    <w:rsid w:val="00E91F88"/>
    <w:rsid w:val="00E97CC5"/>
    <w:rsid w:val="00EA749A"/>
    <w:rsid w:val="00EB24C8"/>
    <w:rsid w:val="00EB5D54"/>
    <w:rsid w:val="00EC5882"/>
    <w:rsid w:val="00ED0559"/>
    <w:rsid w:val="00ED1719"/>
    <w:rsid w:val="00ED3D2D"/>
    <w:rsid w:val="00EE013A"/>
    <w:rsid w:val="00EE55FC"/>
    <w:rsid w:val="00EF0747"/>
    <w:rsid w:val="00F0327D"/>
    <w:rsid w:val="00F03768"/>
    <w:rsid w:val="00F0600C"/>
    <w:rsid w:val="00F14DB9"/>
    <w:rsid w:val="00F255F7"/>
    <w:rsid w:val="00F379C5"/>
    <w:rsid w:val="00F41294"/>
    <w:rsid w:val="00F434D3"/>
    <w:rsid w:val="00F4583E"/>
    <w:rsid w:val="00F46F0E"/>
    <w:rsid w:val="00F475B4"/>
    <w:rsid w:val="00F65E23"/>
    <w:rsid w:val="00F71B87"/>
    <w:rsid w:val="00F763E1"/>
    <w:rsid w:val="00F7716F"/>
    <w:rsid w:val="00F834D9"/>
    <w:rsid w:val="00F90F92"/>
    <w:rsid w:val="00F93BBE"/>
    <w:rsid w:val="00FA089D"/>
    <w:rsid w:val="00FA349C"/>
    <w:rsid w:val="00FA728B"/>
    <w:rsid w:val="00FA74E6"/>
    <w:rsid w:val="00FB322E"/>
    <w:rsid w:val="00FC6623"/>
    <w:rsid w:val="00FE1FBD"/>
    <w:rsid w:val="00FE54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8615BAE-6B74-4EE6-9EC4-3FB7C136C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Char"/>
    <w:uiPriority w:val="9"/>
    <w:qFormat/>
    <w:rsid w:val="00F0376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Char"/>
    <w:uiPriority w:val="9"/>
    <w:qFormat/>
    <w:rsid w:val="00F0376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F0376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link w:val="5Char"/>
    <w:uiPriority w:val="9"/>
    <w:qFormat/>
    <w:rsid w:val="00F03768"/>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link w:val="6Char"/>
    <w:uiPriority w:val="9"/>
    <w:qFormat/>
    <w:rsid w:val="00F03768"/>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03768"/>
    <w:rPr>
      <w:rFonts w:ascii="Times New Roman" w:eastAsia="Times New Roman" w:hAnsi="Times New Roman" w:cs="Times New Roman"/>
      <w:b/>
      <w:bCs/>
      <w:kern w:val="36"/>
      <w:sz w:val="48"/>
      <w:szCs w:val="48"/>
    </w:rPr>
  </w:style>
  <w:style w:type="character" w:customStyle="1" w:styleId="2Char">
    <w:name w:val="标题 2 Char"/>
    <w:basedOn w:val="a0"/>
    <w:link w:val="2"/>
    <w:uiPriority w:val="9"/>
    <w:rsid w:val="00F03768"/>
    <w:rPr>
      <w:rFonts w:ascii="Times New Roman" w:eastAsia="Times New Roman" w:hAnsi="Times New Roman" w:cs="Times New Roman"/>
      <w:b/>
      <w:bCs/>
      <w:sz w:val="36"/>
      <w:szCs w:val="36"/>
    </w:rPr>
  </w:style>
  <w:style w:type="character" w:customStyle="1" w:styleId="3Char">
    <w:name w:val="标题 3 Char"/>
    <w:basedOn w:val="a0"/>
    <w:link w:val="3"/>
    <w:uiPriority w:val="9"/>
    <w:rsid w:val="00F03768"/>
    <w:rPr>
      <w:rFonts w:ascii="Times New Roman" w:eastAsia="Times New Roman" w:hAnsi="Times New Roman" w:cs="Times New Roman"/>
      <w:b/>
      <w:bCs/>
      <w:sz w:val="27"/>
      <w:szCs w:val="27"/>
    </w:rPr>
  </w:style>
  <w:style w:type="character" w:customStyle="1" w:styleId="5Char">
    <w:name w:val="标题 5 Char"/>
    <w:basedOn w:val="a0"/>
    <w:link w:val="5"/>
    <w:uiPriority w:val="9"/>
    <w:rsid w:val="00F03768"/>
    <w:rPr>
      <w:rFonts w:ascii="Times New Roman" w:eastAsia="Times New Roman" w:hAnsi="Times New Roman" w:cs="Times New Roman"/>
      <w:b/>
      <w:bCs/>
      <w:sz w:val="20"/>
      <w:szCs w:val="20"/>
    </w:rPr>
  </w:style>
  <w:style w:type="character" w:customStyle="1" w:styleId="6Char">
    <w:name w:val="标题 6 Char"/>
    <w:basedOn w:val="a0"/>
    <w:link w:val="6"/>
    <w:uiPriority w:val="9"/>
    <w:rsid w:val="00F03768"/>
    <w:rPr>
      <w:rFonts w:ascii="Times New Roman" w:eastAsia="Times New Roman" w:hAnsi="Times New Roman" w:cs="Times New Roman"/>
      <w:b/>
      <w:bCs/>
      <w:sz w:val="15"/>
      <w:szCs w:val="15"/>
    </w:rPr>
  </w:style>
  <w:style w:type="character" w:styleId="a3">
    <w:name w:val="Strong"/>
    <w:basedOn w:val="a0"/>
    <w:uiPriority w:val="22"/>
    <w:qFormat/>
    <w:rsid w:val="00F03768"/>
    <w:rPr>
      <w:b/>
      <w:bCs/>
    </w:rPr>
  </w:style>
  <w:style w:type="paragraph" w:styleId="a4">
    <w:name w:val="Normal (Web)"/>
    <w:basedOn w:val="a"/>
    <w:uiPriority w:val="99"/>
    <w:semiHidden/>
    <w:unhideWhenUsed/>
    <w:rsid w:val="00F03768"/>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F03768"/>
    <w:rPr>
      <w:i/>
      <w:iCs/>
    </w:rPr>
  </w:style>
  <w:style w:type="paragraph" w:styleId="a6">
    <w:name w:val="header"/>
    <w:basedOn w:val="a"/>
    <w:link w:val="Char"/>
    <w:uiPriority w:val="99"/>
    <w:unhideWhenUsed/>
    <w:rsid w:val="00622AA5"/>
    <w:pPr>
      <w:tabs>
        <w:tab w:val="center" w:pos="4320"/>
        <w:tab w:val="right" w:pos="8640"/>
      </w:tabs>
      <w:spacing w:after="0" w:line="240" w:lineRule="auto"/>
    </w:pPr>
  </w:style>
  <w:style w:type="character" w:customStyle="1" w:styleId="Char">
    <w:name w:val="页眉 Char"/>
    <w:basedOn w:val="a0"/>
    <w:link w:val="a6"/>
    <w:uiPriority w:val="99"/>
    <w:rsid w:val="00622AA5"/>
  </w:style>
  <w:style w:type="paragraph" w:styleId="a7">
    <w:name w:val="footer"/>
    <w:basedOn w:val="a"/>
    <w:link w:val="Char0"/>
    <w:uiPriority w:val="99"/>
    <w:unhideWhenUsed/>
    <w:rsid w:val="00622AA5"/>
    <w:pPr>
      <w:tabs>
        <w:tab w:val="center" w:pos="4320"/>
        <w:tab w:val="right" w:pos="8640"/>
      </w:tabs>
      <w:spacing w:after="0" w:line="240" w:lineRule="auto"/>
    </w:pPr>
  </w:style>
  <w:style w:type="character" w:customStyle="1" w:styleId="Char0">
    <w:name w:val="页脚 Char"/>
    <w:basedOn w:val="a0"/>
    <w:link w:val="a7"/>
    <w:uiPriority w:val="99"/>
    <w:rsid w:val="00622AA5"/>
  </w:style>
  <w:style w:type="paragraph" w:styleId="a8">
    <w:name w:val="List Paragraph"/>
    <w:basedOn w:val="a"/>
    <w:uiPriority w:val="34"/>
    <w:qFormat/>
    <w:rsid w:val="00940897"/>
    <w:pPr>
      <w:ind w:left="720"/>
      <w:contextualSpacing/>
    </w:pPr>
  </w:style>
  <w:style w:type="table" w:styleId="a9">
    <w:name w:val="Table Grid"/>
    <w:basedOn w:val="a1"/>
    <w:uiPriority w:val="39"/>
    <w:rsid w:val="00044B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atex-mathml">
    <w:name w:val="katex-mathml"/>
    <w:basedOn w:val="a0"/>
    <w:rsid w:val="005465AF"/>
  </w:style>
  <w:style w:type="character" w:customStyle="1" w:styleId="mord">
    <w:name w:val="mord"/>
    <w:basedOn w:val="a0"/>
    <w:rsid w:val="005465AF"/>
  </w:style>
  <w:style w:type="character" w:customStyle="1" w:styleId="mopen">
    <w:name w:val="mopen"/>
    <w:basedOn w:val="a0"/>
    <w:rsid w:val="005465AF"/>
  </w:style>
  <w:style w:type="character" w:customStyle="1" w:styleId="mclose">
    <w:name w:val="mclose"/>
    <w:basedOn w:val="a0"/>
    <w:rsid w:val="00546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510185">
      <w:bodyDiv w:val="1"/>
      <w:marLeft w:val="0"/>
      <w:marRight w:val="0"/>
      <w:marTop w:val="0"/>
      <w:marBottom w:val="0"/>
      <w:divBdr>
        <w:top w:val="none" w:sz="0" w:space="0" w:color="auto"/>
        <w:left w:val="none" w:sz="0" w:space="0" w:color="auto"/>
        <w:bottom w:val="none" w:sz="0" w:space="0" w:color="auto"/>
        <w:right w:val="none" w:sz="0" w:space="0" w:color="auto"/>
      </w:divBdr>
    </w:div>
    <w:div w:id="418018645">
      <w:bodyDiv w:val="1"/>
      <w:marLeft w:val="0"/>
      <w:marRight w:val="0"/>
      <w:marTop w:val="0"/>
      <w:marBottom w:val="0"/>
      <w:divBdr>
        <w:top w:val="none" w:sz="0" w:space="0" w:color="auto"/>
        <w:left w:val="none" w:sz="0" w:space="0" w:color="auto"/>
        <w:bottom w:val="none" w:sz="0" w:space="0" w:color="auto"/>
        <w:right w:val="none" w:sz="0" w:space="0" w:color="auto"/>
      </w:divBdr>
    </w:div>
    <w:div w:id="660237377">
      <w:bodyDiv w:val="1"/>
      <w:marLeft w:val="0"/>
      <w:marRight w:val="0"/>
      <w:marTop w:val="0"/>
      <w:marBottom w:val="0"/>
      <w:divBdr>
        <w:top w:val="none" w:sz="0" w:space="0" w:color="auto"/>
        <w:left w:val="none" w:sz="0" w:space="0" w:color="auto"/>
        <w:bottom w:val="none" w:sz="0" w:space="0" w:color="auto"/>
        <w:right w:val="none" w:sz="0" w:space="0" w:color="auto"/>
      </w:divBdr>
      <w:divsChild>
        <w:div w:id="1002585093">
          <w:marLeft w:val="0"/>
          <w:marRight w:val="0"/>
          <w:marTop w:val="0"/>
          <w:marBottom w:val="0"/>
          <w:divBdr>
            <w:top w:val="none" w:sz="0" w:space="0" w:color="auto"/>
            <w:left w:val="none" w:sz="0" w:space="0" w:color="auto"/>
            <w:bottom w:val="none" w:sz="0" w:space="0" w:color="auto"/>
            <w:right w:val="none" w:sz="0" w:space="0" w:color="auto"/>
          </w:divBdr>
          <w:divsChild>
            <w:div w:id="1687293681">
              <w:marLeft w:val="0"/>
              <w:marRight w:val="0"/>
              <w:marTop w:val="0"/>
              <w:marBottom w:val="0"/>
              <w:divBdr>
                <w:top w:val="none" w:sz="0" w:space="0" w:color="auto"/>
                <w:left w:val="none" w:sz="0" w:space="0" w:color="auto"/>
                <w:bottom w:val="none" w:sz="0" w:space="0" w:color="auto"/>
                <w:right w:val="none" w:sz="0" w:space="0" w:color="auto"/>
              </w:divBdr>
              <w:divsChild>
                <w:div w:id="1815953368">
                  <w:marLeft w:val="0"/>
                  <w:marRight w:val="0"/>
                  <w:marTop w:val="0"/>
                  <w:marBottom w:val="0"/>
                  <w:divBdr>
                    <w:top w:val="none" w:sz="0" w:space="0" w:color="auto"/>
                    <w:left w:val="none" w:sz="0" w:space="0" w:color="auto"/>
                    <w:bottom w:val="none" w:sz="0" w:space="0" w:color="auto"/>
                    <w:right w:val="none" w:sz="0" w:space="0" w:color="auto"/>
                  </w:divBdr>
                  <w:divsChild>
                    <w:div w:id="714475710">
                      <w:marLeft w:val="0"/>
                      <w:marRight w:val="0"/>
                      <w:marTop w:val="0"/>
                      <w:marBottom w:val="0"/>
                      <w:divBdr>
                        <w:top w:val="none" w:sz="0" w:space="0" w:color="auto"/>
                        <w:left w:val="none" w:sz="0" w:space="0" w:color="auto"/>
                        <w:bottom w:val="none" w:sz="0" w:space="0" w:color="auto"/>
                        <w:right w:val="none" w:sz="0" w:space="0" w:color="auto"/>
                      </w:divBdr>
                      <w:divsChild>
                        <w:div w:id="201330563">
                          <w:marLeft w:val="0"/>
                          <w:marRight w:val="0"/>
                          <w:marTop w:val="0"/>
                          <w:marBottom w:val="0"/>
                          <w:divBdr>
                            <w:top w:val="none" w:sz="0" w:space="0" w:color="auto"/>
                            <w:left w:val="none" w:sz="0" w:space="0" w:color="auto"/>
                            <w:bottom w:val="none" w:sz="0" w:space="0" w:color="auto"/>
                            <w:right w:val="none" w:sz="0" w:space="0" w:color="auto"/>
                          </w:divBdr>
                          <w:divsChild>
                            <w:div w:id="151395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0082614">
          <w:marLeft w:val="0"/>
          <w:marRight w:val="0"/>
          <w:marTop w:val="0"/>
          <w:marBottom w:val="0"/>
          <w:divBdr>
            <w:top w:val="none" w:sz="0" w:space="0" w:color="auto"/>
            <w:left w:val="none" w:sz="0" w:space="0" w:color="auto"/>
            <w:bottom w:val="none" w:sz="0" w:space="0" w:color="auto"/>
            <w:right w:val="none" w:sz="0" w:space="0" w:color="auto"/>
          </w:divBdr>
          <w:divsChild>
            <w:div w:id="1319074934">
              <w:marLeft w:val="0"/>
              <w:marRight w:val="0"/>
              <w:marTop w:val="0"/>
              <w:marBottom w:val="0"/>
              <w:divBdr>
                <w:top w:val="none" w:sz="0" w:space="0" w:color="auto"/>
                <w:left w:val="none" w:sz="0" w:space="0" w:color="auto"/>
                <w:bottom w:val="none" w:sz="0" w:space="0" w:color="auto"/>
                <w:right w:val="none" w:sz="0" w:space="0" w:color="auto"/>
              </w:divBdr>
              <w:divsChild>
                <w:div w:id="1056903118">
                  <w:marLeft w:val="0"/>
                  <w:marRight w:val="0"/>
                  <w:marTop w:val="0"/>
                  <w:marBottom w:val="0"/>
                  <w:divBdr>
                    <w:top w:val="none" w:sz="0" w:space="0" w:color="auto"/>
                    <w:left w:val="none" w:sz="0" w:space="0" w:color="auto"/>
                    <w:bottom w:val="none" w:sz="0" w:space="0" w:color="auto"/>
                    <w:right w:val="none" w:sz="0" w:space="0" w:color="auto"/>
                  </w:divBdr>
                  <w:divsChild>
                    <w:div w:id="1949777569">
                      <w:marLeft w:val="0"/>
                      <w:marRight w:val="0"/>
                      <w:marTop w:val="0"/>
                      <w:marBottom w:val="0"/>
                      <w:divBdr>
                        <w:top w:val="none" w:sz="0" w:space="0" w:color="auto"/>
                        <w:left w:val="none" w:sz="0" w:space="0" w:color="auto"/>
                        <w:bottom w:val="none" w:sz="0" w:space="0" w:color="auto"/>
                        <w:right w:val="none" w:sz="0" w:space="0" w:color="auto"/>
                      </w:divBdr>
                      <w:divsChild>
                        <w:div w:id="1759864385">
                          <w:marLeft w:val="0"/>
                          <w:marRight w:val="0"/>
                          <w:marTop w:val="0"/>
                          <w:marBottom w:val="0"/>
                          <w:divBdr>
                            <w:top w:val="none" w:sz="0" w:space="0" w:color="auto"/>
                            <w:left w:val="none" w:sz="0" w:space="0" w:color="auto"/>
                            <w:bottom w:val="none" w:sz="0" w:space="0" w:color="auto"/>
                            <w:right w:val="none" w:sz="0" w:space="0" w:color="auto"/>
                          </w:divBdr>
                          <w:divsChild>
                            <w:div w:id="1641496319">
                              <w:marLeft w:val="0"/>
                              <w:marRight w:val="0"/>
                              <w:marTop w:val="0"/>
                              <w:marBottom w:val="0"/>
                              <w:divBdr>
                                <w:top w:val="none" w:sz="0" w:space="0" w:color="auto"/>
                                <w:left w:val="none" w:sz="0" w:space="0" w:color="auto"/>
                                <w:bottom w:val="none" w:sz="0" w:space="0" w:color="auto"/>
                                <w:right w:val="none" w:sz="0" w:space="0" w:color="auto"/>
                              </w:divBdr>
                              <w:divsChild>
                                <w:div w:id="74692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227355">
          <w:marLeft w:val="0"/>
          <w:marRight w:val="0"/>
          <w:marTop w:val="0"/>
          <w:marBottom w:val="0"/>
          <w:divBdr>
            <w:top w:val="none" w:sz="0" w:space="0" w:color="auto"/>
            <w:left w:val="none" w:sz="0" w:space="0" w:color="auto"/>
            <w:bottom w:val="none" w:sz="0" w:space="0" w:color="auto"/>
            <w:right w:val="none" w:sz="0" w:space="0" w:color="auto"/>
          </w:divBdr>
          <w:divsChild>
            <w:div w:id="681783686">
              <w:marLeft w:val="0"/>
              <w:marRight w:val="0"/>
              <w:marTop w:val="0"/>
              <w:marBottom w:val="0"/>
              <w:divBdr>
                <w:top w:val="none" w:sz="0" w:space="0" w:color="auto"/>
                <w:left w:val="none" w:sz="0" w:space="0" w:color="auto"/>
                <w:bottom w:val="none" w:sz="0" w:space="0" w:color="auto"/>
                <w:right w:val="none" w:sz="0" w:space="0" w:color="auto"/>
              </w:divBdr>
              <w:divsChild>
                <w:div w:id="1923760884">
                  <w:marLeft w:val="0"/>
                  <w:marRight w:val="0"/>
                  <w:marTop w:val="0"/>
                  <w:marBottom w:val="0"/>
                  <w:divBdr>
                    <w:top w:val="none" w:sz="0" w:space="0" w:color="auto"/>
                    <w:left w:val="none" w:sz="0" w:space="0" w:color="auto"/>
                    <w:bottom w:val="none" w:sz="0" w:space="0" w:color="auto"/>
                    <w:right w:val="none" w:sz="0" w:space="0" w:color="auto"/>
                  </w:divBdr>
                  <w:divsChild>
                    <w:div w:id="1332104884">
                      <w:marLeft w:val="0"/>
                      <w:marRight w:val="0"/>
                      <w:marTop w:val="0"/>
                      <w:marBottom w:val="0"/>
                      <w:divBdr>
                        <w:top w:val="none" w:sz="0" w:space="0" w:color="auto"/>
                        <w:left w:val="none" w:sz="0" w:space="0" w:color="auto"/>
                        <w:bottom w:val="none" w:sz="0" w:space="0" w:color="auto"/>
                        <w:right w:val="none" w:sz="0" w:space="0" w:color="auto"/>
                      </w:divBdr>
                      <w:divsChild>
                        <w:div w:id="956715770">
                          <w:marLeft w:val="0"/>
                          <w:marRight w:val="0"/>
                          <w:marTop w:val="0"/>
                          <w:marBottom w:val="0"/>
                          <w:divBdr>
                            <w:top w:val="none" w:sz="0" w:space="0" w:color="auto"/>
                            <w:left w:val="none" w:sz="0" w:space="0" w:color="auto"/>
                            <w:bottom w:val="none" w:sz="0" w:space="0" w:color="auto"/>
                            <w:right w:val="none" w:sz="0" w:space="0" w:color="auto"/>
                          </w:divBdr>
                          <w:divsChild>
                            <w:div w:id="627124218">
                              <w:marLeft w:val="0"/>
                              <w:marRight w:val="0"/>
                              <w:marTop w:val="0"/>
                              <w:marBottom w:val="0"/>
                              <w:divBdr>
                                <w:top w:val="none" w:sz="0" w:space="0" w:color="auto"/>
                                <w:left w:val="none" w:sz="0" w:space="0" w:color="auto"/>
                                <w:bottom w:val="none" w:sz="0" w:space="0" w:color="auto"/>
                                <w:right w:val="none" w:sz="0" w:space="0" w:color="auto"/>
                              </w:divBdr>
                              <w:divsChild>
                                <w:div w:id="1772163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918144">
          <w:marLeft w:val="0"/>
          <w:marRight w:val="0"/>
          <w:marTop w:val="0"/>
          <w:marBottom w:val="0"/>
          <w:divBdr>
            <w:top w:val="none" w:sz="0" w:space="0" w:color="auto"/>
            <w:left w:val="none" w:sz="0" w:space="0" w:color="auto"/>
            <w:bottom w:val="none" w:sz="0" w:space="0" w:color="auto"/>
            <w:right w:val="none" w:sz="0" w:space="0" w:color="auto"/>
          </w:divBdr>
          <w:divsChild>
            <w:div w:id="548498471">
              <w:marLeft w:val="0"/>
              <w:marRight w:val="0"/>
              <w:marTop w:val="0"/>
              <w:marBottom w:val="0"/>
              <w:divBdr>
                <w:top w:val="none" w:sz="0" w:space="0" w:color="auto"/>
                <w:left w:val="none" w:sz="0" w:space="0" w:color="auto"/>
                <w:bottom w:val="none" w:sz="0" w:space="0" w:color="auto"/>
                <w:right w:val="none" w:sz="0" w:space="0" w:color="auto"/>
              </w:divBdr>
              <w:divsChild>
                <w:div w:id="1936746711">
                  <w:marLeft w:val="0"/>
                  <w:marRight w:val="0"/>
                  <w:marTop w:val="0"/>
                  <w:marBottom w:val="0"/>
                  <w:divBdr>
                    <w:top w:val="none" w:sz="0" w:space="0" w:color="auto"/>
                    <w:left w:val="none" w:sz="0" w:space="0" w:color="auto"/>
                    <w:bottom w:val="none" w:sz="0" w:space="0" w:color="auto"/>
                    <w:right w:val="none" w:sz="0" w:space="0" w:color="auto"/>
                  </w:divBdr>
                  <w:divsChild>
                    <w:div w:id="1934511085">
                      <w:marLeft w:val="0"/>
                      <w:marRight w:val="0"/>
                      <w:marTop w:val="0"/>
                      <w:marBottom w:val="0"/>
                      <w:divBdr>
                        <w:top w:val="none" w:sz="0" w:space="0" w:color="auto"/>
                        <w:left w:val="none" w:sz="0" w:space="0" w:color="auto"/>
                        <w:bottom w:val="none" w:sz="0" w:space="0" w:color="auto"/>
                        <w:right w:val="none" w:sz="0" w:space="0" w:color="auto"/>
                      </w:divBdr>
                      <w:divsChild>
                        <w:div w:id="325670057">
                          <w:marLeft w:val="0"/>
                          <w:marRight w:val="0"/>
                          <w:marTop w:val="0"/>
                          <w:marBottom w:val="0"/>
                          <w:divBdr>
                            <w:top w:val="none" w:sz="0" w:space="0" w:color="auto"/>
                            <w:left w:val="none" w:sz="0" w:space="0" w:color="auto"/>
                            <w:bottom w:val="none" w:sz="0" w:space="0" w:color="auto"/>
                            <w:right w:val="none" w:sz="0" w:space="0" w:color="auto"/>
                          </w:divBdr>
                          <w:divsChild>
                            <w:div w:id="1032850790">
                              <w:marLeft w:val="0"/>
                              <w:marRight w:val="0"/>
                              <w:marTop w:val="0"/>
                              <w:marBottom w:val="0"/>
                              <w:divBdr>
                                <w:top w:val="none" w:sz="0" w:space="0" w:color="auto"/>
                                <w:left w:val="none" w:sz="0" w:space="0" w:color="auto"/>
                                <w:bottom w:val="none" w:sz="0" w:space="0" w:color="auto"/>
                                <w:right w:val="none" w:sz="0" w:space="0" w:color="auto"/>
                              </w:divBdr>
                              <w:divsChild>
                                <w:div w:id="166848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0622751">
          <w:marLeft w:val="0"/>
          <w:marRight w:val="0"/>
          <w:marTop w:val="0"/>
          <w:marBottom w:val="0"/>
          <w:divBdr>
            <w:top w:val="none" w:sz="0" w:space="0" w:color="auto"/>
            <w:left w:val="none" w:sz="0" w:space="0" w:color="auto"/>
            <w:bottom w:val="none" w:sz="0" w:space="0" w:color="auto"/>
            <w:right w:val="none" w:sz="0" w:space="0" w:color="auto"/>
          </w:divBdr>
          <w:divsChild>
            <w:div w:id="1834755445">
              <w:marLeft w:val="0"/>
              <w:marRight w:val="0"/>
              <w:marTop w:val="0"/>
              <w:marBottom w:val="0"/>
              <w:divBdr>
                <w:top w:val="none" w:sz="0" w:space="0" w:color="auto"/>
                <w:left w:val="none" w:sz="0" w:space="0" w:color="auto"/>
                <w:bottom w:val="none" w:sz="0" w:space="0" w:color="auto"/>
                <w:right w:val="none" w:sz="0" w:space="0" w:color="auto"/>
              </w:divBdr>
              <w:divsChild>
                <w:div w:id="1364555530">
                  <w:marLeft w:val="0"/>
                  <w:marRight w:val="0"/>
                  <w:marTop w:val="0"/>
                  <w:marBottom w:val="0"/>
                  <w:divBdr>
                    <w:top w:val="none" w:sz="0" w:space="0" w:color="auto"/>
                    <w:left w:val="none" w:sz="0" w:space="0" w:color="auto"/>
                    <w:bottom w:val="none" w:sz="0" w:space="0" w:color="auto"/>
                    <w:right w:val="none" w:sz="0" w:space="0" w:color="auto"/>
                  </w:divBdr>
                  <w:divsChild>
                    <w:div w:id="156120357">
                      <w:marLeft w:val="0"/>
                      <w:marRight w:val="0"/>
                      <w:marTop w:val="0"/>
                      <w:marBottom w:val="0"/>
                      <w:divBdr>
                        <w:top w:val="none" w:sz="0" w:space="0" w:color="auto"/>
                        <w:left w:val="none" w:sz="0" w:space="0" w:color="auto"/>
                        <w:bottom w:val="none" w:sz="0" w:space="0" w:color="auto"/>
                        <w:right w:val="none" w:sz="0" w:space="0" w:color="auto"/>
                      </w:divBdr>
                      <w:divsChild>
                        <w:div w:id="21564343">
                          <w:marLeft w:val="0"/>
                          <w:marRight w:val="0"/>
                          <w:marTop w:val="0"/>
                          <w:marBottom w:val="0"/>
                          <w:divBdr>
                            <w:top w:val="none" w:sz="0" w:space="0" w:color="auto"/>
                            <w:left w:val="none" w:sz="0" w:space="0" w:color="auto"/>
                            <w:bottom w:val="none" w:sz="0" w:space="0" w:color="auto"/>
                            <w:right w:val="none" w:sz="0" w:space="0" w:color="auto"/>
                          </w:divBdr>
                          <w:divsChild>
                            <w:div w:id="131683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8921712">
          <w:marLeft w:val="0"/>
          <w:marRight w:val="0"/>
          <w:marTop w:val="0"/>
          <w:marBottom w:val="0"/>
          <w:divBdr>
            <w:top w:val="none" w:sz="0" w:space="0" w:color="auto"/>
            <w:left w:val="none" w:sz="0" w:space="0" w:color="auto"/>
            <w:bottom w:val="none" w:sz="0" w:space="0" w:color="auto"/>
            <w:right w:val="none" w:sz="0" w:space="0" w:color="auto"/>
          </w:divBdr>
          <w:divsChild>
            <w:div w:id="9721159">
              <w:marLeft w:val="0"/>
              <w:marRight w:val="0"/>
              <w:marTop w:val="0"/>
              <w:marBottom w:val="0"/>
              <w:divBdr>
                <w:top w:val="none" w:sz="0" w:space="0" w:color="auto"/>
                <w:left w:val="none" w:sz="0" w:space="0" w:color="auto"/>
                <w:bottom w:val="none" w:sz="0" w:space="0" w:color="auto"/>
                <w:right w:val="none" w:sz="0" w:space="0" w:color="auto"/>
              </w:divBdr>
              <w:divsChild>
                <w:div w:id="184683464">
                  <w:marLeft w:val="0"/>
                  <w:marRight w:val="0"/>
                  <w:marTop w:val="0"/>
                  <w:marBottom w:val="0"/>
                  <w:divBdr>
                    <w:top w:val="none" w:sz="0" w:space="0" w:color="auto"/>
                    <w:left w:val="none" w:sz="0" w:space="0" w:color="auto"/>
                    <w:bottom w:val="none" w:sz="0" w:space="0" w:color="auto"/>
                    <w:right w:val="none" w:sz="0" w:space="0" w:color="auto"/>
                  </w:divBdr>
                  <w:divsChild>
                    <w:div w:id="1321226029">
                      <w:marLeft w:val="0"/>
                      <w:marRight w:val="0"/>
                      <w:marTop w:val="0"/>
                      <w:marBottom w:val="0"/>
                      <w:divBdr>
                        <w:top w:val="none" w:sz="0" w:space="0" w:color="auto"/>
                        <w:left w:val="none" w:sz="0" w:space="0" w:color="auto"/>
                        <w:bottom w:val="none" w:sz="0" w:space="0" w:color="auto"/>
                        <w:right w:val="none" w:sz="0" w:space="0" w:color="auto"/>
                      </w:divBdr>
                      <w:divsChild>
                        <w:div w:id="265160399">
                          <w:marLeft w:val="0"/>
                          <w:marRight w:val="0"/>
                          <w:marTop w:val="0"/>
                          <w:marBottom w:val="0"/>
                          <w:divBdr>
                            <w:top w:val="none" w:sz="0" w:space="0" w:color="auto"/>
                            <w:left w:val="none" w:sz="0" w:space="0" w:color="auto"/>
                            <w:bottom w:val="none" w:sz="0" w:space="0" w:color="auto"/>
                            <w:right w:val="none" w:sz="0" w:space="0" w:color="auto"/>
                          </w:divBdr>
                          <w:divsChild>
                            <w:div w:id="1167866364">
                              <w:marLeft w:val="0"/>
                              <w:marRight w:val="0"/>
                              <w:marTop w:val="0"/>
                              <w:marBottom w:val="0"/>
                              <w:divBdr>
                                <w:top w:val="none" w:sz="0" w:space="0" w:color="auto"/>
                                <w:left w:val="none" w:sz="0" w:space="0" w:color="auto"/>
                                <w:bottom w:val="none" w:sz="0" w:space="0" w:color="auto"/>
                                <w:right w:val="none" w:sz="0" w:space="0" w:color="auto"/>
                              </w:divBdr>
                              <w:divsChild>
                                <w:div w:id="65440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4454244">
          <w:marLeft w:val="0"/>
          <w:marRight w:val="0"/>
          <w:marTop w:val="0"/>
          <w:marBottom w:val="0"/>
          <w:divBdr>
            <w:top w:val="none" w:sz="0" w:space="0" w:color="auto"/>
            <w:left w:val="none" w:sz="0" w:space="0" w:color="auto"/>
            <w:bottom w:val="none" w:sz="0" w:space="0" w:color="auto"/>
            <w:right w:val="none" w:sz="0" w:space="0" w:color="auto"/>
          </w:divBdr>
          <w:divsChild>
            <w:div w:id="1386687056">
              <w:marLeft w:val="0"/>
              <w:marRight w:val="0"/>
              <w:marTop w:val="0"/>
              <w:marBottom w:val="0"/>
              <w:divBdr>
                <w:top w:val="none" w:sz="0" w:space="0" w:color="auto"/>
                <w:left w:val="none" w:sz="0" w:space="0" w:color="auto"/>
                <w:bottom w:val="none" w:sz="0" w:space="0" w:color="auto"/>
                <w:right w:val="none" w:sz="0" w:space="0" w:color="auto"/>
              </w:divBdr>
              <w:divsChild>
                <w:div w:id="470560373">
                  <w:marLeft w:val="0"/>
                  <w:marRight w:val="0"/>
                  <w:marTop w:val="0"/>
                  <w:marBottom w:val="0"/>
                  <w:divBdr>
                    <w:top w:val="none" w:sz="0" w:space="0" w:color="auto"/>
                    <w:left w:val="none" w:sz="0" w:space="0" w:color="auto"/>
                    <w:bottom w:val="none" w:sz="0" w:space="0" w:color="auto"/>
                    <w:right w:val="none" w:sz="0" w:space="0" w:color="auto"/>
                  </w:divBdr>
                  <w:divsChild>
                    <w:div w:id="1585533318">
                      <w:marLeft w:val="0"/>
                      <w:marRight w:val="0"/>
                      <w:marTop w:val="0"/>
                      <w:marBottom w:val="0"/>
                      <w:divBdr>
                        <w:top w:val="none" w:sz="0" w:space="0" w:color="auto"/>
                        <w:left w:val="none" w:sz="0" w:space="0" w:color="auto"/>
                        <w:bottom w:val="none" w:sz="0" w:space="0" w:color="auto"/>
                        <w:right w:val="none" w:sz="0" w:space="0" w:color="auto"/>
                      </w:divBdr>
                      <w:divsChild>
                        <w:div w:id="1404176794">
                          <w:marLeft w:val="0"/>
                          <w:marRight w:val="0"/>
                          <w:marTop w:val="0"/>
                          <w:marBottom w:val="0"/>
                          <w:divBdr>
                            <w:top w:val="none" w:sz="0" w:space="0" w:color="auto"/>
                            <w:left w:val="none" w:sz="0" w:space="0" w:color="auto"/>
                            <w:bottom w:val="none" w:sz="0" w:space="0" w:color="auto"/>
                            <w:right w:val="none" w:sz="0" w:space="0" w:color="auto"/>
                          </w:divBdr>
                          <w:divsChild>
                            <w:div w:id="201506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640664">
          <w:marLeft w:val="0"/>
          <w:marRight w:val="0"/>
          <w:marTop w:val="0"/>
          <w:marBottom w:val="0"/>
          <w:divBdr>
            <w:top w:val="none" w:sz="0" w:space="0" w:color="auto"/>
            <w:left w:val="none" w:sz="0" w:space="0" w:color="auto"/>
            <w:bottom w:val="none" w:sz="0" w:space="0" w:color="auto"/>
            <w:right w:val="none" w:sz="0" w:space="0" w:color="auto"/>
          </w:divBdr>
          <w:divsChild>
            <w:div w:id="974484876">
              <w:marLeft w:val="0"/>
              <w:marRight w:val="0"/>
              <w:marTop w:val="0"/>
              <w:marBottom w:val="0"/>
              <w:divBdr>
                <w:top w:val="none" w:sz="0" w:space="0" w:color="auto"/>
                <w:left w:val="none" w:sz="0" w:space="0" w:color="auto"/>
                <w:bottom w:val="none" w:sz="0" w:space="0" w:color="auto"/>
                <w:right w:val="none" w:sz="0" w:space="0" w:color="auto"/>
              </w:divBdr>
              <w:divsChild>
                <w:div w:id="1980458953">
                  <w:marLeft w:val="0"/>
                  <w:marRight w:val="0"/>
                  <w:marTop w:val="0"/>
                  <w:marBottom w:val="0"/>
                  <w:divBdr>
                    <w:top w:val="none" w:sz="0" w:space="0" w:color="auto"/>
                    <w:left w:val="none" w:sz="0" w:space="0" w:color="auto"/>
                    <w:bottom w:val="none" w:sz="0" w:space="0" w:color="auto"/>
                    <w:right w:val="none" w:sz="0" w:space="0" w:color="auto"/>
                  </w:divBdr>
                  <w:divsChild>
                    <w:div w:id="1016031940">
                      <w:marLeft w:val="0"/>
                      <w:marRight w:val="0"/>
                      <w:marTop w:val="0"/>
                      <w:marBottom w:val="0"/>
                      <w:divBdr>
                        <w:top w:val="none" w:sz="0" w:space="0" w:color="auto"/>
                        <w:left w:val="none" w:sz="0" w:space="0" w:color="auto"/>
                        <w:bottom w:val="none" w:sz="0" w:space="0" w:color="auto"/>
                        <w:right w:val="none" w:sz="0" w:space="0" w:color="auto"/>
                      </w:divBdr>
                      <w:divsChild>
                        <w:div w:id="1360163870">
                          <w:marLeft w:val="0"/>
                          <w:marRight w:val="0"/>
                          <w:marTop w:val="0"/>
                          <w:marBottom w:val="0"/>
                          <w:divBdr>
                            <w:top w:val="none" w:sz="0" w:space="0" w:color="auto"/>
                            <w:left w:val="none" w:sz="0" w:space="0" w:color="auto"/>
                            <w:bottom w:val="none" w:sz="0" w:space="0" w:color="auto"/>
                            <w:right w:val="none" w:sz="0" w:space="0" w:color="auto"/>
                          </w:divBdr>
                          <w:divsChild>
                            <w:div w:id="2119983363">
                              <w:marLeft w:val="0"/>
                              <w:marRight w:val="0"/>
                              <w:marTop w:val="0"/>
                              <w:marBottom w:val="0"/>
                              <w:divBdr>
                                <w:top w:val="none" w:sz="0" w:space="0" w:color="auto"/>
                                <w:left w:val="none" w:sz="0" w:space="0" w:color="auto"/>
                                <w:bottom w:val="none" w:sz="0" w:space="0" w:color="auto"/>
                                <w:right w:val="none" w:sz="0" w:space="0" w:color="auto"/>
                              </w:divBdr>
                              <w:divsChild>
                                <w:div w:id="105488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869903">
          <w:marLeft w:val="0"/>
          <w:marRight w:val="0"/>
          <w:marTop w:val="0"/>
          <w:marBottom w:val="0"/>
          <w:divBdr>
            <w:top w:val="none" w:sz="0" w:space="0" w:color="auto"/>
            <w:left w:val="none" w:sz="0" w:space="0" w:color="auto"/>
            <w:bottom w:val="none" w:sz="0" w:space="0" w:color="auto"/>
            <w:right w:val="none" w:sz="0" w:space="0" w:color="auto"/>
          </w:divBdr>
          <w:divsChild>
            <w:div w:id="1101070450">
              <w:marLeft w:val="0"/>
              <w:marRight w:val="0"/>
              <w:marTop w:val="0"/>
              <w:marBottom w:val="0"/>
              <w:divBdr>
                <w:top w:val="none" w:sz="0" w:space="0" w:color="auto"/>
                <w:left w:val="none" w:sz="0" w:space="0" w:color="auto"/>
                <w:bottom w:val="none" w:sz="0" w:space="0" w:color="auto"/>
                <w:right w:val="none" w:sz="0" w:space="0" w:color="auto"/>
              </w:divBdr>
              <w:divsChild>
                <w:div w:id="736586801">
                  <w:marLeft w:val="0"/>
                  <w:marRight w:val="0"/>
                  <w:marTop w:val="0"/>
                  <w:marBottom w:val="0"/>
                  <w:divBdr>
                    <w:top w:val="none" w:sz="0" w:space="0" w:color="auto"/>
                    <w:left w:val="none" w:sz="0" w:space="0" w:color="auto"/>
                    <w:bottom w:val="none" w:sz="0" w:space="0" w:color="auto"/>
                    <w:right w:val="none" w:sz="0" w:space="0" w:color="auto"/>
                  </w:divBdr>
                  <w:divsChild>
                    <w:div w:id="524177815">
                      <w:marLeft w:val="0"/>
                      <w:marRight w:val="0"/>
                      <w:marTop w:val="0"/>
                      <w:marBottom w:val="0"/>
                      <w:divBdr>
                        <w:top w:val="none" w:sz="0" w:space="0" w:color="auto"/>
                        <w:left w:val="none" w:sz="0" w:space="0" w:color="auto"/>
                        <w:bottom w:val="none" w:sz="0" w:space="0" w:color="auto"/>
                        <w:right w:val="none" w:sz="0" w:space="0" w:color="auto"/>
                      </w:divBdr>
                      <w:divsChild>
                        <w:div w:id="440687266">
                          <w:marLeft w:val="0"/>
                          <w:marRight w:val="0"/>
                          <w:marTop w:val="0"/>
                          <w:marBottom w:val="0"/>
                          <w:divBdr>
                            <w:top w:val="none" w:sz="0" w:space="0" w:color="auto"/>
                            <w:left w:val="none" w:sz="0" w:space="0" w:color="auto"/>
                            <w:bottom w:val="none" w:sz="0" w:space="0" w:color="auto"/>
                            <w:right w:val="none" w:sz="0" w:space="0" w:color="auto"/>
                          </w:divBdr>
                          <w:divsChild>
                            <w:div w:id="70518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669281">
          <w:marLeft w:val="0"/>
          <w:marRight w:val="0"/>
          <w:marTop w:val="0"/>
          <w:marBottom w:val="0"/>
          <w:divBdr>
            <w:top w:val="none" w:sz="0" w:space="0" w:color="auto"/>
            <w:left w:val="none" w:sz="0" w:space="0" w:color="auto"/>
            <w:bottom w:val="none" w:sz="0" w:space="0" w:color="auto"/>
            <w:right w:val="none" w:sz="0" w:space="0" w:color="auto"/>
          </w:divBdr>
          <w:divsChild>
            <w:div w:id="1612282915">
              <w:marLeft w:val="0"/>
              <w:marRight w:val="0"/>
              <w:marTop w:val="0"/>
              <w:marBottom w:val="0"/>
              <w:divBdr>
                <w:top w:val="none" w:sz="0" w:space="0" w:color="auto"/>
                <w:left w:val="none" w:sz="0" w:space="0" w:color="auto"/>
                <w:bottom w:val="none" w:sz="0" w:space="0" w:color="auto"/>
                <w:right w:val="none" w:sz="0" w:space="0" w:color="auto"/>
              </w:divBdr>
              <w:divsChild>
                <w:div w:id="449594515">
                  <w:marLeft w:val="0"/>
                  <w:marRight w:val="0"/>
                  <w:marTop w:val="0"/>
                  <w:marBottom w:val="0"/>
                  <w:divBdr>
                    <w:top w:val="none" w:sz="0" w:space="0" w:color="auto"/>
                    <w:left w:val="none" w:sz="0" w:space="0" w:color="auto"/>
                    <w:bottom w:val="none" w:sz="0" w:space="0" w:color="auto"/>
                    <w:right w:val="none" w:sz="0" w:space="0" w:color="auto"/>
                  </w:divBdr>
                  <w:divsChild>
                    <w:div w:id="1246763934">
                      <w:marLeft w:val="0"/>
                      <w:marRight w:val="0"/>
                      <w:marTop w:val="0"/>
                      <w:marBottom w:val="0"/>
                      <w:divBdr>
                        <w:top w:val="none" w:sz="0" w:space="0" w:color="auto"/>
                        <w:left w:val="none" w:sz="0" w:space="0" w:color="auto"/>
                        <w:bottom w:val="none" w:sz="0" w:space="0" w:color="auto"/>
                        <w:right w:val="none" w:sz="0" w:space="0" w:color="auto"/>
                      </w:divBdr>
                      <w:divsChild>
                        <w:div w:id="916279487">
                          <w:marLeft w:val="0"/>
                          <w:marRight w:val="0"/>
                          <w:marTop w:val="0"/>
                          <w:marBottom w:val="0"/>
                          <w:divBdr>
                            <w:top w:val="none" w:sz="0" w:space="0" w:color="auto"/>
                            <w:left w:val="none" w:sz="0" w:space="0" w:color="auto"/>
                            <w:bottom w:val="none" w:sz="0" w:space="0" w:color="auto"/>
                            <w:right w:val="none" w:sz="0" w:space="0" w:color="auto"/>
                          </w:divBdr>
                          <w:divsChild>
                            <w:div w:id="413624549">
                              <w:marLeft w:val="0"/>
                              <w:marRight w:val="0"/>
                              <w:marTop w:val="0"/>
                              <w:marBottom w:val="0"/>
                              <w:divBdr>
                                <w:top w:val="none" w:sz="0" w:space="0" w:color="auto"/>
                                <w:left w:val="none" w:sz="0" w:space="0" w:color="auto"/>
                                <w:bottom w:val="none" w:sz="0" w:space="0" w:color="auto"/>
                                <w:right w:val="none" w:sz="0" w:space="0" w:color="auto"/>
                              </w:divBdr>
                              <w:divsChild>
                                <w:div w:id="48752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6478310">
          <w:marLeft w:val="0"/>
          <w:marRight w:val="0"/>
          <w:marTop w:val="0"/>
          <w:marBottom w:val="0"/>
          <w:divBdr>
            <w:top w:val="none" w:sz="0" w:space="0" w:color="auto"/>
            <w:left w:val="none" w:sz="0" w:space="0" w:color="auto"/>
            <w:bottom w:val="none" w:sz="0" w:space="0" w:color="auto"/>
            <w:right w:val="none" w:sz="0" w:space="0" w:color="auto"/>
          </w:divBdr>
          <w:divsChild>
            <w:div w:id="2021815318">
              <w:marLeft w:val="0"/>
              <w:marRight w:val="0"/>
              <w:marTop w:val="0"/>
              <w:marBottom w:val="0"/>
              <w:divBdr>
                <w:top w:val="none" w:sz="0" w:space="0" w:color="auto"/>
                <w:left w:val="none" w:sz="0" w:space="0" w:color="auto"/>
                <w:bottom w:val="none" w:sz="0" w:space="0" w:color="auto"/>
                <w:right w:val="none" w:sz="0" w:space="0" w:color="auto"/>
              </w:divBdr>
              <w:divsChild>
                <w:div w:id="1690718540">
                  <w:marLeft w:val="0"/>
                  <w:marRight w:val="0"/>
                  <w:marTop w:val="0"/>
                  <w:marBottom w:val="0"/>
                  <w:divBdr>
                    <w:top w:val="none" w:sz="0" w:space="0" w:color="auto"/>
                    <w:left w:val="none" w:sz="0" w:space="0" w:color="auto"/>
                    <w:bottom w:val="none" w:sz="0" w:space="0" w:color="auto"/>
                    <w:right w:val="none" w:sz="0" w:space="0" w:color="auto"/>
                  </w:divBdr>
                  <w:divsChild>
                    <w:div w:id="1245340201">
                      <w:marLeft w:val="0"/>
                      <w:marRight w:val="0"/>
                      <w:marTop w:val="0"/>
                      <w:marBottom w:val="0"/>
                      <w:divBdr>
                        <w:top w:val="none" w:sz="0" w:space="0" w:color="auto"/>
                        <w:left w:val="none" w:sz="0" w:space="0" w:color="auto"/>
                        <w:bottom w:val="none" w:sz="0" w:space="0" w:color="auto"/>
                        <w:right w:val="none" w:sz="0" w:space="0" w:color="auto"/>
                      </w:divBdr>
                      <w:divsChild>
                        <w:div w:id="871502881">
                          <w:marLeft w:val="0"/>
                          <w:marRight w:val="0"/>
                          <w:marTop w:val="0"/>
                          <w:marBottom w:val="0"/>
                          <w:divBdr>
                            <w:top w:val="none" w:sz="0" w:space="0" w:color="auto"/>
                            <w:left w:val="none" w:sz="0" w:space="0" w:color="auto"/>
                            <w:bottom w:val="none" w:sz="0" w:space="0" w:color="auto"/>
                            <w:right w:val="none" w:sz="0" w:space="0" w:color="auto"/>
                          </w:divBdr>
                          <w:divsChild>
                            <w:div w:id="95625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0750946">
          <w:marLeft w:val="0"/>
          <w:marRight w:val="0"/>
          <w:marTop w:val="0"/>
          <w:marBottom w:val="0"/>
          <w:divBdr>
            <w:top w:val="none" w:sz="0" w:space="0" w:color="auto"/>
            <w:left w:val="none" w:sz="0" w:space="0" w:color="auto"/>
            <w:bottom w:val="none" w:sz="0" w:space="0" w:color="auto"/>
            <w:right w:val="none" w:sz="0" w:space="0" w:color="auto"/>
          </w:divBdr>
          <w:divsChild>
            <w:div w:id="1125391186">
              <w:marLeft w:val="0"/>
              <w:marRight w:val="0"/>
              <w:marTop w:val="0"/>
              <w:marBottom w:val="0"/>
              <w:divBdr>
                <w:top w:val="none" w:sz="0" w:space="0" w:color="auto"/>
                <w:left w:val="none" w:sz="0" w:space="0" w:color="auto"/>
                <w:bottom w:val="none" w:sz="0" w:space="0" w:color="auto"/>
                <w:right w:val="none" w:sz="0" w:space="0" w:color="auto"/>
              </w:divBdr>
              <w:divsChild>
                <w:div w:id="576985682">
                  <w:marLeft w:val="0"/>
                  <w:marRight w:val="0"/>
                  <w:marTop w:val="0"/>
                  <w:marBottom w:val="0"/>
                  <w:divBdr>
                    <w:top w:val="none" w:sz="0" w:space="0" w:color="auto"/>
                    <w:left w:val="none" w:sz="0" w:space="0" w:color="auto"/>
                    <w:bottom w:val="none" w:sz="0" w:space="0" w:color="auto"/>
                    <w:right w:val="none" w:sz="0" w:space="0" w:color="auto"/>
                  </w:divBdr>
                  <w:divsChild>
                    <w:div w:id="110983054">
                      <w:marLeft w:val="0"/>
                      <w:marRight w:val="0"/>
                      <w:marTop w:val="0"/>
                      <w:marBottom w:val="0"/>
                      <w:divBdr>
                        <w:top w:val="none" w:sz="0" w:space="0" w:color="auto"/>
                        <w:left w:val="none" w:sz="0" w:space="0" w:color="auto"/>
                        <w:bottom w:val="none" w:sz="0" w:space="0" w:color="auto"/>
                        <w:right w:val="none" w:sz="0" w:space="0" w:color="auto"/>
                      </w:divBdr>
                      <w:divsChild>
                        <w:div w:id="1918637318">
                          <w:marLeft w:val="0"/>
                          <w:marRight w:val="0"/>
                          <w:marTop w:val="0"/>
                          <w:marBottom w:val="0"/>
                          <w:divBdr>
                            <w:top w:val="none" w:sz="0" w:space="0" w:color="auto"/>
                            <w:left w:val="none" w:sz="0" w:space="0" w:color="auto"/>
                            <w:bottom w:val="none" w:sz="0" w:space="0" w:color="auto"/>
                            <w:right w:val="none" w:sz="0" w:space="0" w:color="auto"/>
                          </w:divBdr>
                          <w:divsChild>
                            <w:div w:id="692192886">
                              <w:marLeft w:val="0"/>
                              <w:marRight w:val="0"/>
                              <w:marTop w:val="0"/>
                              <w:marBottom w:val="0"/>
                              <w:divBdr>
                                <w:top w:val="none" w:sz="0" w:space="0" w:color="auto"/>
                                <w:left w:val="none" w:sz="0" w:space="0" w:color="auto"/>
                                <w:bottom w:val="none" w:sz="0" w:space="0" w:color="auto"/>
                                <w:right w:val="none" w:sz="0" w:space="0" w:color="auto"/>
                              </w:divBdr>
                              <w:divsChild>
                                <w:div w:id="5343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382541">
          <w:marLeft w:val="0"/>
          <w:marRight w:val="0"/>
          <w:marTop w:val="0"/>
          <w:marBottom w:val="0"/>
          <w:divBdr>
            <w:top w:val="none" w:sz="0" w:space="0" w:color="auto"/>
            <w:left w:val="none" w:sz="0" w:space="0" w:color="auto"/>
            <w:bottom w:val="none" w:sz="0" w:space="0" w:color="auto"/>
            <w:right w:val="none" w:sz="0" w:space="0" w:color="auto"/>
          </w:divBdr>
          <w:divsChild>
            <w:div w:id="2135630380">
              <w:marLeft w:val="0"/>
              <w:marRight w:val="0"/>
              <w:marTop w:val="0"/>
              <w:marBottom w:val="0"/>
              <w:divBdr>
                <w:top w:val="none" w:sz="0" w:space="0" w:color="auto"/>
                <w:left w:val="none" w:sz="0" w:space="0" w:color="auto"/>
                <w:bottom w:val="none" w:sz="0" w:space="0" w:color="auto"/>
                <w:right w:val="none" w:sz="0" w:space="0" w:color="auto"/>
              </w:divBdr>
              <w:divsChild>
                <w:div w:id="1415739397">
                  <w:marLeft w:val="0"/>
                  <w:marRight w:val="0"/>
                  <w:marTop w:val="0"/>
                  <w:marBottom w:val="0"/>
                  <w:divBdr>
                    <w:top w:val="none" w:sz="0" w:space="0" w:color="auto"/>
                    <w:left w:val="none" w:sz="0" w:space="0" w:color="auto"/>
                    <w:bottom w:val="none" w:sz="0" w:space="0" w:color="auto"/>
                    <w:right w:val="none" w:sz="0" w:space="0" w:color="auto"/>
                  </w:divBdr>
                  <w:divsChild>
                    <w:div w:id="408889152">
                      <w:marLeft w:val="0"/>
                      <w:marRight w:val="0"/>
                      <w:marTop w:val="0"/>
                      <w:marBottom w:val="0"/>
                      <w:divBdr>
                        <w:top w:val="none" w:sz="0" w:space="0" w:color="auto"/>
                        <w:left w:val="none" w:sz="0" w:space="0" w:color="auto"/>
                        <w:bottom w:val="none" w:sz="0" w:space="0" w:color="auto"/>
                        <w:right w:val="none" w:sz="0" w:space="0" w:color="auto"/>
                      </w:divBdr>
                      <w:divsChild>
                        <w:div w:id="988898575">
                          <w:marLeft w:val="0"/>
                          <w:marRight w:val="0"/>
                          <w:marTop w:val="0"/>
                          <w:marBottom w:val="0"/>
                          <w:divBdr>
                            <w:top w:val="none" w:sz="0" w:space="0" w:color="auto"/>
                            <w:left w:val="none" w:sz="0" w:space="0" w:color="auto"/>
                            <w:bottom w:val="none" w:sz="0" w:space="0" w:color="auto"/>
                            <w:right w:val="none" w:sz="0" w:space="0" w:color="auto"/>
                          </w:divBdr>
                          <w:divsChild>
                            <w:div w:id="162812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9524455">
          <w:marLeft w:val="0"/>
          <w:marRight w:val="0"/>
          <w:marTop w:val="0"/>
          <w:marBottom w:val="0"/>
          <w:divBdr>
            <w:top w:val="none" w:sz="0" w:space="0" w:color="auto"/>
            <w:left w:val="none" w:sz="0" w:space="0" w:color="auto"/>
            <w:bottom w:val="none" w:sz="0" w:space="0" w:color="auto"/>
            <w:right w:val="none" w:sz="0" w:space="0" w:color="auto"/>
          </w:divBdr>
          <w:divsChild>
            <w:div w:id="2058773271">
              <w:marLeft w:val="0"/>
              <w:marRight w:val="0"/>
              <w:marTop w:val="0"/>
              <w:marBottom w:val="0"/>
              <w:divBdr>
                <w:top w:val="none" w:sz="0" w:space="0" w:color="auto"/>
                <w:left w:val="none" w:sz="0" w:space="0" w:color="auto"/>
                <w:bottom w:val="none" w:sz="0" w:space="0" w:color="auto"/>
                <w:right w:val="none" w:sz="0" w:space="0" w:color="auto"/>
              </w:divBdr>
              <w:divsChild>
                <w:div w:id="2074698719">
                  <w:marLeft w:val="0"/>
                  <w:marRight w:val="0"/>
                  <w:marTop w:val="0"/>
                  <w:marBottom w:val="0"/>
                  <w:divBdr>
                    <w:top w:val="none" w:sz="0" w:space="0" w:color="auto"/>
                    <w:left w:val="none" w:sz="0" w:space="0" w:color="auto"/>
                    <w:bottom w:val="none" w:sz="0" w:space="0" w:color="auto"/>
                    <w:right w:val="none" w:sz="0" w:space="0" w:color="auto"/>
                  </w:divBdr>
                  <w:divsChild>
                    <w:div w:id="155804619">
                      <w:marLeft w:val="0"/>
                      <w:marRight w:val="0"/>
                      <w:marTop w:val="0"/>
                      <w:marBottom w:val="0"/>
                      <w:divBdr>
                        <w:top w:val="none" w:sz="0" w:space="0" w:color="auto"/>
                        <w:left w:val="none" w:sz="0" w:space="0" w:color="auto"/>
                        <w:bottom w:val="none" w:sz="0" w:space="0" w:color="auto"/>
                        <w:right w:val="none" w:sz="0" w:space="0" w:color="auto"/>
                      </w:divBdr>
                      <w:divsChild>
                        <w:div w:id="586496291">
                          <w:marLeft w:val="0"/>
                          <w:marRight w:val="0"/>
                          <w:marTop w:val="0"/>
                          <w:marBottom w:val="0"/>
                          <w:divBdr>
                            <w:top w:val="none" w:sz="0" w:space="0" w:color="auto"/>
                            <w:left w:val="none" w:sz="0" w:space="0" w:color="auto"/>
                            <w:bottom w:val="none" w:sz="0" w:space="0" w:color="auto"/>
                            <w:right w:val="none" w:sz="0" w:space="0" w:color="auto"/>
                          </w:divBdr>
                          <w:divsChild>
                            <w:div w:id="1172795404">
                              <w:marLeft w:val="0"/>
                              <w:marRight w:val="0"/>
                              <w:marTop w:val="0"/>
                              <w:marBottom w:val="0"/>
                              <w:divBdr>
                                <w:top w:val="none" w:sz="0" w:space="0" w:color="auto"/>
                                <w:left w:val="none" w:sz="0" w:space="0" w:color="auto"/>
                                <w:bottom w:val="none" w:sz="0" w:space="0" w:color="auto"/>
                                <w:right w:val="none" w:sz="0" w:space="0" w:color="auto"/>
                              </w:divBdr>
                              <w:divsChild>
                                <w:div w:id="7178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1169474">
          <w:marLeft w:val="0"/>
          <w:marRight w:val="0"/>
          <w:marTop w:val="0"/>
          <w:marBottom w:val="0"/>
          <w:divBdr>
            <w:top w:val="none" w:sz="0" w:space="0" w:color="auto"/>
            <w:left w:val="none" w:sz="0" w:space="0" w:color="auto"/>
            <w:bottom w:val="none" w:sz="0" w:space="0" w:color="auto"/>
            <w:right w:val="none" w:sz="0" w:space="0" w:color="auto"/>
          </w:divBdr>
          <w:divsChild>
            <w:div w:id="1642690129">
              <w:marLeft w:val="0"/>
              <w:marRight w:val="0"/>
              <w:marTop w:val="0"/>
              <w:marBottom w:val="0"/>
              <w:divBdr>
                <w:top w:val="none" w:sz="0" w:space="0" w:color="auto"/>
                <w:left w:val="none" w:sz="0" w:space="0" w:color="auto"/>
                <w:bottom w:val="none" w:sz="0" w:space="0" w:color="auto"/>
                <w:right w:val="none" w:sz="0" w:space="0" w:color="auto"/>
              </w:divBdr>
              <w:divsChild>
                <w:div w:id="53047893">
                  <w:marLeft w:val="0"/>
                  <w:marRight w:val="0"/>
                  <w:marTop w:val="0"/>
                  <w:marBottom w:val="0"/>
                  <w:divBdr>
                    <w:top w:val="none" w:sz="0" w:space="0" w:color="auto"/>
                    <w:left w:val="none" w:sz="0" w:space="0" w:color="auto"/>
                    <w:bottom w:val="none" w:sz="0" w:space="0" w:color="auto"/>
                    <w:right w:val="none" w:sz="0" w:space="0" w:color="auto"/>
                  </w:divBdr>
                  <w:divsChild>
                    <w:div w:id="1935360995">
                      <w:marLeft w:val="0"/>
                      <w:marRight w:val="0"/>
                      <w:marTop w:val="0"/>
                      <w:marBottom w:val="0"/>
                      <w:divBdr>
                        <w:top w:val="none" w:sz="0" w:space="0" w:color="auto"/>
                        <w:left w:val="none" w:sz="0" w:space="0" w:color="auto"/>
                        <w:bottom w:val="none" w:sz="0" w:space="0" w:color="auto"/>
                        <w:right w:val="none" w:sz="0" w:space="0" w:color="auto"/>
                      </w:divBdr>
                      <w:divsChild>
                        <w:div w:id="116918786">
                          <w:marLeft w:val="0"/>
                          <w:marRight w:val="0"/>
                          <w:marTop w:val="0"/>
                          <w:marBottom w:val="0"/>
                          <w:divBdr>
                            <w:top w:val="none" w:sz="0" w:space="0" w:color="auto"/>
                            <w:left w:val="none" w:sz="0" w:space="0" w:color="auto"/>
                            <w:bottom w:val="none" w:sz="0" w:space="0" w:color="auto"/>
                            <w:right w:val="none" w:sz="0" w:space="0" w:color="auto"/>
                          </w:divBdr>
                          <w:divsChild>
                            <w:div w:id="603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1687671">
          <w:marLeft w:val="0"/>
          <w:marRight w:val="0"/>
          <w:marTop w:val="0"/>
          <w:marBottom w:val="0"/>
          <w:divBdr>
            <w:top w:val="none" w:sz="0" w:space="0" w:color="auto"/>
            <w:left w:val="none" w:sz="0" w:space="0" w:color="auto"/>
            <w:bottom w:val="none" w:sz="0" w:space="0" w:color="auto"/>
            <w:right w:val="none" w:sz="0" w:space="0" w:color="auto"/>
          </w:divBdr>
          <w:divsChild>
            <w:div w:id="1854027425">
              <w:marLeft w:val="0"/>
              <w:marRight w:val="0"/>
              <w:marTop w:val="0"/>
              <w:marBottom w:val="0"/>
              <w:divBdr>
                <w:top w:val="none" w:sz="0" w:space="0" w:color="auto"/>
                <w:left w:val="none" w:sz="0" w:space="0" w:color="auto"/>
                <w:bottom w:val="none" w:sz="0" w:space="0" w:color="auto"/>
                <w:right w:val="none" w:sz="0" w:space="0" w:color="auto"/>
              </w:divBdr>
              <w:divsChild>
                <w:div w:id="891230046">
                  <w:marLeft w:val="0"/>
                  <w:marRight w:val="0"/>
                  <w:marTop w:val="0"/>
                  <w:marBottom w:val="0"/>
                  <w:divBdr>
                    <w:top w:val="none" w:sz="0" w:space="0" w:color="auto"/>
                    <w:left w:val="none" w:sz="0" w:space="0" w:color="auto"/>
                    <w:bottom w:val="none" w:sz="0" w:space="0" w:color="auto"/>
                    <w:right w:val="none" w:sz="0" w:space="0" w:color="auto"/>
                  </w:divBdr>
                  <w:divsChild>
                    <w:div w:id="2085106429">
                      <w:marLeft w:val="0"/>
                      <w:marRight w:val="0"/>
                      <w:marTop w:val="0"/>
                      <w:marBottom w:val="0"/>
                      <w:divBdr>
                        <w:top w:val="none" w:sz="0" w:space="0" w:color="auto"/>
                        <w:left w:val="none" w:sz="0" w:space="0" w:color="auto"/>
                        <w:bottom w:val="none" w:sz="0" w:space="0" w:color="auto"/>
                        <w:right w:val="none" w:sz="0" w:space="0" w:color="auto"/>
                      </w:divBdr>
                      <w:divsChild>
                        <w:div w:id="138039228">
                          <w:marLeft w:val="0"/>
                          <w:marRight w:val="0"/>
                          <w:marTop w:val="0"/>
                          <w:marBottom w:val="0"/>
                          <w:divBdr>
                            <w:top w:val="none" w:sz="0" w:space="0" w:color="auto"/>
                            <w:left w:val="none" w:sz="0" w:space="0" w:color="auto"/>
                            <w:bottom w:val="none" w:sz="0" w:space="0" w:color="auto"/>
                            <w:right w:val="none" w:sz="0" w:space="0" w:color="auto"/>
                          </w:divBdr>
                          <w:divsChild>
                            <w:div w:id="1456677453">
                              <w:marLeft w:val="0"/>
                              <w:marRight w:val="0"/>
                              <w:marTop w:val="0"/>
                              <w:marBottom w:val="0"/>
                              <w:divBdr>
                                <w:top w:val="none" w:sz="0" w:space="0" w:color="auto"/>
                                <w:left w:val="none" w:sz="0" w:space="0" w:color="auto"/>
                                <w:bottom w:val="none" w:sz="0" w:space="0" w:color="auto"/>
                                <w:right w:val="none" w:sz="0" w:space="0" w:color="auto"/>
                              </w:divBdr>
                              <w:divsChild>
                                <w:div w:id="169758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0227502">
          <w:marLeft w:val="0"/>
          <w:marRight w:val="0"/>
          <w:marTop w:val="0"/>
          <w:marBottom w:val="0"/>
          <w:divBdr>
            <w:top w:val="none" w:sz="0" w:space="0" w:color="auto"/>
            <w:left w:val="none" w:sz="0" w:space="0" w:color="auto"/>
            <w:bottom w:val="none" w:sz="0" w:space="0" w:color="auto"/>
            <w:right w:val="none" w:sz="0" w:space="0" w:color="auto"/>
          </w:divBdr>
          <w:divsChild>
            <w:div w:id="776944988">
              <w:marLeft w:val="0"/>
              <w:marRight w:val="0"/>
              <w:marTop w:val="0"/>
              <w:marBottom w:val="0"/>
              <w:divBdr>
                <w:top w:val="none" w:sz="0" w:space="0" w:color="auto"/>
                <w:left w:val="none" w:sz="0" w:space="0" w:color="auto"/>
                <w:bottom w:val="none" w:sz="0" w:space="0" w:color="auto"/>
                <w:right w:val="none" w:sz="0" w:space="0" w:color="auto"/>
              </w:divBdr>
              <w:divsChild>
                <w:div w:id="955138033">
                  <w:marLeft w:val="0"/>
                  <w:marRight w:val="0"/>
                  <w:marTop w:val="0"/>
                  <w:marBottom w:val="0"/>
                  <w:divBdr>
                    <w:top w:val="none" w:sz="0" w:space="0" w:color="auto"/>
                    <w:left w:val="none" w:sz="0" w:space="0" w:color="auto"/>
                    <w:bottom w:val="none" w:sz="0" w:space="0" w:color="auto"/>
                    <w:right w:val="none" w:sz="0" w:space="0" w:color="auto"/>
                  </w:divBdr>
                  <w:divsChild>
                    <w:div w:id="309330665">
                      <w:marLeft w:val="0"/>
                      <w:marRight w:val="0"/>
                      <w:marTop w:val="0"/>
                      <w:marBottom w:val="0"/>
                      <w:divBdr>
                        <w:top w:val="none" w:sz="0" w:space="0" w:color="auto"/>
                        <w:left w:val="none" w:sz="0" w:space="0" w:color="auto"/>
                        <w:bottom w:val="none" w:sz="0" w:space="0" w:color="auto"/>
                        <w:right w:val="none" w:sz="0" w:space="0" w:color="auto"/>
                      </w:divBdr>
                      <w:divsChild>
                        <w:div w:id="1081219938">
                          <w:marLeft w:val="0"/>
                          <w:marRight w:val="0"/>
                          <w:marTop w:val="0"/>
                          <w:marBottom w:val="0"/>
                          <w:divBdr>
                            <w:top w:val="none" w:sz="0" w:space="0" w:color="auto"/>
                            <w:left w:val="none" w:sz="0" w:space="0" w:color="auto"/>
                            <w:bottom w:val="none" w:sz="0" w:space="0" w:color="auto"/>
                            <w:right w:val="none" w:sz="0" w:space="0" w:color="auto"/>
                          </w:divBdr>
                          <w:divsChild>
                            <w:div w:id="122553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758555">
      <w:bodyDiv w:val="1"/>
      <w:marLeft w:val="0"/>
      <w:marRight w:val="0"/>
      <w:marTop w:val="0"/>
      <w:marBottom w:val="0"/>
      <w:divBdr>
        <w:top w:val="none" w:sz="0" w:space="0" w:color="auto"/>
        <w:left w:val="none" w:sz="0" w:space="0" w:color="auto"/>
        <w:bottom w:val="none" w:sz="0" w:space="0" w:color="auto"/>
        <w:right w:val="none" w:sz="0" w:space="0" w:color="auto"/>
      </w:divBdr>
    </w:div>
    <w:div w:id="817576218">
      <w:bodyDiv w:val="1"/>
      <w:marLeft w:val="0"/>
      <w:marRight w:val="0"/>
      <w:marTop w:val="0"/>
      <w:marBottom w:val="0"/>
      <w:divBdr>
        <w:top w:val="none" w:sz="0" w:space="0" w:color="auto"/>
        <w:left w:val="none" w:sz="0" w:space="0" w:color="auto"/>
        <w:bottom w:val="none" w:sz="0" w:space="0" w:color="auto"/>
        <w:right w:val="none" w:sz="0" w:space="0" w:color="auto"/>
      </w:divBdr>
    </w:div>
    <w:div w:id="973945207">
      <w:bodyDiv w:val="1"/>
      <w:marLeft w:val="0"/>
      <w:marRight w:val="0"/>
      <w:marTop w:val="0"/>
      <w:marBottom w:val="0"/>
      <w:divBdr>
        <w:top w:val="none" w:sz="0" w:space="0" w:color="auto"/>
        <w:left w:val="none" w:sz="0" w:space="0" w:color="auto"/>
        <w:bottom w:val="none" w:sz="0" w:space="0" w:color="auto"/>
        <w:right w:val="none" w:sz="0" w:space="0" w:color="auto"/>
      </w:divBdr>
    </w:div>
    <w:div w:id="1216815118">
      <w:bodyDiv w:val="1"/>
      <w:marLeft w:val="0"/>
      <w:marRight w:val="0"/>
      <w:marTop w:val="0"/>
      <w:marBottom w:val="0"/>
      <w:divBdr>
        <w:top w:val="none" w:sz="0" w:space="0" w:color="auto"/>
        <w:left w:val="none" w:sz="0" w:space="0" w:color="auto"/>
        <w:bottom w:val="none" w:sz="0" w:space="0" w:color="auto"/>
        <w:right w:val="none" w:sz="0" w:space="0" w:color="auto"/>
      </w:divBdr>
    </w:div>
    <w:div w:id="1327249112">
      <w:bodyDiv w:val="1"/>
      <w:marLeft w:val="0"/>
      <w:marRight w:val="0"/>
      <w:marTop w:val="0"/>
      <w:marBottom w:val="0"/>
      <w:divBdr>
        <w:top w:val="none" w:sz="0" w:space="0" w:color="auto"/>
        <w:left w:val="none" w:sz="0" w:space="0" w:color="auto"/>
        <w:bottom w:val="none" w:sz="0" w:space="0" w:color="auto"/>
        <w:right w:val="none" w:sz="0" w:space="0" w:color="auto"/>
      </w:divBdr>
    </w:div>
    <w:div w:id="1429423745">
      <w:bodyDiv w:val="1"/>
      <w:marLeft w:val="0"/>
      <w:marRight w:val="0"/>
      <w:marTop w:val="0"/>
      <w:marBottom w:val="0"/>
      <w:divBdr>
        <w:top w:val="none" w:sz="0" w:space="0" w:color="auto"/>
        <w:left w:val="none" w:sz="0" w:space="0" w:color="auto"/>
        <w:bottom w:val="none" w:sz="0" w:space="0" w:color="auto"/>
        <w:right w:val="none" w:sz="0" w:space="0" w:color="auto"/>
      </w:divBdr>
      <w:divsChild>
        <w:div w:id="11759182">
          <w:marLeft w:val="0"/>
          <w:marRight w:val="0"/>
          <w:marTop w:val="0"/>
          <w:marBottom w:val="0"/>
          <w:divBdr>
            <w:top w:val="none" w:sz="0" w:space="0" w:color="auto"/>
            <w:left w:val="none" w:sz="0" w:space="0" w:color="auto"/>
            <w:bottom w:val="none" w:sz="0" w:space="0" w:color="auto"/>
            <w:right w:val="none" w:sz="0" w:space="0" w:color="auto"/>
          </w:divBdr>
          <w:divsChild>
            <w:div w:id="203052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682016">
      <w:bodyDiv w:val="1"/>
      <w:marLeft w:val="0"/>
      <w:marRight w:val="0"/>
      <w:marTop w:val="0"/>
      <w:marBottom w:val="0"/>
      <w:divBdr>
        <w:top w:val="none" w:sz="0" w:space="0" w:color="auto"/>
        <w:left w:val="none" w:sz="0" w:space="0" w:color="auto"/>
        <w:bottom w:val="none" w:sz="0" w:space="0" w:color="auto"/>
        <w:right w:val="none" w:sz="0" w:space="0" w:color="auto"/>
      </w:divBdr>
    </w:div>
    <w:div w:id="2080327035">
      <w:bodyDiv w:val="1"/>
      <w:marLeft w:val="0"/>
      <w:marRight w:val="0"/>
      <w:marTop w:val="0"/>
      <w:marBottom w:val="0"/>
      <w:divBdr>
        <w:top w:val="none" w:sz="0" w:space="0" w:color="auto"/>
        <w:left w:val="none" w:sz="0" w:space="0" w:color="auto"/>
        <w:bottom w:val="none" w:sz="0" w:space="0" w:color="auto"/>
        <w:right w:val="none" w:sz="0" w:space="0" w:color="auto"/>
      </w:divBdr>
    </w:div>
    <w:div w:id="208413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Visio___1.vsdx"/><Relationship Id="rId13"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package" Target="embeddings/Microsoft_Visio___2.vsd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2.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1148</TotalTime>
  <Pages>30</Pages>
  <Words>15486</Words>
  <Characters>88275</Characters>
  <Application>Microsoft Office Word</Application>
  <DocSecurity>0</DocSecurity>
  <Lines>735</Lines>
  <Paragraphs>207</Paragraphs>
  <ScaleCrop>false</ScaleCrop>
  <Company/>
  <LinksUpToDate>false</LinksUpToDate>
  <CharactersWithSpaces>103554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Li</dc:creator>
  <cp:keywords/>
  <dc:description/>
  <cp:lastModifiedBy>Yang Li</cp:lastModifiedBy>
  <cp:revision>218</cp:revision>
  <cp:lastPrinted>2026-04-18T02:44:00Z</cp:lastPrinted>
  <dcterms:created xsi:type="dcterms:W3CDTF">2025-11-03T23:02:00Z</dcterms:created>
  <dcterms:modified xsi:type="dcterms:W3CDTF">2026-05-24T10:30:00Z</dcterms:modified>
</cp:coreProperties>
</file>