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68B2" w:rsidRDefault="00E237A6">
      <w:pPr>
        <w:spacing w:after="60"/>
        <w:jc w:val="center"/>
      </w:pPr>
      <w:r>
        <w:rPr>
          <w:rFonts w:ascii="Calibri" w:eastAsia="Calibri" w:hAnsi="Calibri" w:cs="Calibri"/>
          <w:b/>
          <w:bCs/>
          <w:color w:val="1F3864"/>
          <w:sz w:val="30"/>
          <w:szCs w:val="30"/>
        </w:rPr>
        <w:t>Effect of Aggregate Gradation on the Workability of Fresh Concrete: A Compacting Factor Test Study</w:t>
      </w:r>
    </w:p>
    <w:p w:rsidR="00984A8C" w:rsidRPr="00984A8C" w:rsidRDefault="00984A8C">
      <w:pPr>
        <w:spacing w:after="40"/>
        <w:jc w:val="center"/>
        <w:rPr>
          <w:rFonts w:ascii="Calibri" w:eastAsia="Calibri" w:hAnsi="Calibri" w:cs="Calibri"/>
          <w:b/>
          <w:sz w:val="22"/>
          <w:szCs w:val="22"/>
          <w:u w:val="single"/>
        </w:rPr>
      </w:pPr>
      <w:r w:rsidRPr="00984A8C">
        <w:rPr>
          <w:rFonts w:ascii="Calibri" w:eastAsia="Calibri" w:hAnsi="Calibri" w:cs="Calibri"/>
          <w:b/>
          <w:sz w:val="22"/>
          <w:szCs w:val="22"/>
          <w:u w:val="single"/>
        </w:rPr>
        <w:t>Author</w:t>
      </w:r>
    </w:p>
    <w:p w:rsidR="00D468B2" w:rsidRPr="00984A8C" w:rsidRDefault="00E237A6">
      <w:pPr>
        <w:spacing w:after="40"/>
        <w:jc w:val="center"/>
        <w:rPr>
          <w:rFonts w:ascii="Calibri" w:eastAsia="Calibri" w:hAnsi="Calibri" w:cs="Calibri"/>
          <w:sz w:val="22"/>
          <w:szCs w:val="22"/>
        </w:rPr>
      </w:pPr>
      <w:r w:rsidRPr="00984A8C">
        <w:rPr>
          <w:rFonts w:ascii="Calibri" w:eastAsia="Calibri" w:hAnsi="Calibri" w:cs="Calibri"/>
          <w:sz w:val="22"/>
          <w:szCs w:val="22"/>
        </w:rPr>
        <w:t>Muhammad</w:t>
      </w:r>
      <w:r w:rsidR="00984A8C" w:rsidRPr="00984A8C">
        <w:rPr>
          <w:rFonts w:ascii="Calibri" w:eastAsia="Calibri" w:hAnsi="Calibri" w:cs="Calibri"/>
          <w:sz w:val="22"/>
          <w:szCs w:val="22"/>
        </w:rPr>
        <w:t xml:space="preserve"> Ausaif Alam Khan</w:t>
      </w:r>
    </w:p>
    <w:p w:rsidR="00984A8C" w:rsidRDefault="00984A8C">
      <w:pPr>
        <w:spacing w:after="40"/>
        <w:jc w:val="center"/>
        <w:rPr>
          <w:rFonts w:ascii="Calibri" w:eastAsia="Calibri" w:hAnsi="Calibri" w:cs="Calibri"/>
          <w:sz w:val="22"/>
          <w:szCs w:val="22"/>
        </w:rPr>
      </w:pPr>
      <w:r>
        <w:rPr>
          <w:rFonts w:ascii="Calibri" w:eastAsia="Calibri" w:hAnsi="Calibri" w:cs="Calibri"/>
          <w:sz w:val="22"/>
          <w:szCs w:val="22"/>
        </w:rPr>
        <w:t>(</w:t>
      </w:r>
      <w:r w:rsidRPr="00984A8C">
        <w:rPr>
          <w:rFonts w:ascii="Calibri" w:eastAsia="Calibri" w:hAnsi="Calibri" w:cs="Calibri"/>
          <w:sz w:val="22"/>
          <w:szCs w:val="22"/>
        </w:rPr>
        <w:t>Undergraduate Student</w:t>
      </w:r>
      <w:r>
        <w:rPr>
          <w:rFonts w:ascii="Calibri" w:eastAsia="Calibri" w:hAnsi="Calibri" w:cs="Calibri"/>
          <w:sz w:val="22"/>
          <w:szCs w:val="22"/>
        </w:rPr>
        <w:t>)</w:t>
      </w:r>
    </w:p>
    <w:p w:rsidR="00726F86" w:rsidRDefault="00726F86" w:rsidP="00726F86">
      <w:pPr>
        <w:spacing w:after="40"/>
        <w:jc w:val="center"/>
        <w:rPr>
          <w:rFonts w:ascii="Calibri" w:eastAsia="Calibri" w:hAnsi="Calibri" w:cs="Calibri"/>
          <w:sz w:val="22"/>
          <w:szCs w:val="22"/>
          <w:u w:val="single"/>
        </w:rPr>
      </w:pPr>
      <w:r>
        <w:rPr>
          <w:rFonts w:ascii="Calibri" w:eastAsia="Calibri" w:hAnsi="Calibri" w:cs="Calibri"/>
          <w:sz w:val="22"/>
          <w:szCs w:val="22"/>
        </w:rPr>
        <w:t xml:space="preserve">Email: </w:t>
      </w:r>
      <w:hyperlink r:id="rId5" w:history="1">
        <w:r w:rsidRPr="0041276E">
          <w:rPr>
            <w:rStyle w:val="Hyperlink"/>
            <w:rFonts w:ascii="Calibri" w:eastAsia="Calibri" w:hAnsi="Calibri" w:cs="Calibri"/>
            <w:sz w:val="22"/>
            <w:szCs w:val="22"/>
          </w:rPr>
          <w:t>muhammadausaif1630@gmail.com</w:t>
        </w:r>
      </w:hyperlink>
    </w:p>
    <w:p w:rsidR="00726F86" w:rsidRPr="00726F86" w:rsidRDefault="00726F86" w:rsidP="00726F86">
      <w:pPr>
        <w:spacing w:after="40"/>
        <w:jc w:val="center"/>
        <w:rPr>
          <w:rFonts w:ascii="Calibri" w:eastAsia="Calibri" w:hAnsi="Calibri" w:cs="Calibri"/>
          <w:sz w:val="22"/>
          <w:szCs w:val="22"/>
          <w:u w:val="single"/>
        </w:rPr>
      </w:pPr>
      <w:bookmarkStart w:id="0" w:name="_GoBack"/>
      <w:bookmarkEnd w:id="0"/>
    </w:p>
    <w:p w:rsidR="00D468B2" w:rsidRPr="00984A8C" w:rsidRDefault="00E237A6">
      <w:pPr>
        <w:spacing w:after="40"/>
        <w:jc w:val="center"/>
        <w:rPr>
          <w:sz w:val="22"/>
          <w:szCs w:val="22"/>
        </w:rPr>
      </w:pPr>
      <w:r w:rsidRPr="00984A8C">
        <w:rPr>
          <w:rFonts w:ascii="Calibri" w:eastAsia="Calibri" w:hAnsi="Calibri" w:cs="Calibri"/>
          <w:i/>
          <w:iCs/>
          <w:sz w:val="22"/>
          <w:szCs w:val="22"/>
        </w:rPr>
        <w:t>Department of Civil Engineering, NED University of Engineering &amp; Technology, Karachi, Pakistan</w:t>
      </w:r>
    </w:p>
    <w:p w:rsidR="00D468B2" w:rsidRDefault="00D468B2">
      <w:pPr>
        <w:spacing w:after="200"/>
        <w:jc w:val="center"/>
      </w:pPr>
    </w:p>
    <w:p w:rsidR="00D468B2" w:rsidRPr="00984A8C" w:rsidRDefault="00E237A6">
      <w:pPr>
        <w:pStyle w:val="Heading2"/>
        <w:spacing w:before="180" w:after="90"/>
        <w:rPr>
          <w:sz w:val="24"/>
          <w:szCs w:val="24"/>
        </w:rPr>
      </w:pPr>
      <w:r w:rsidRPr="00984A8C">
        <w:rPr>
          <w:rFonts w:ascii="Calibri" w:eastAsia="Calibri" w:hAnsi="Calibri" w:cs="Calibri"/>
          <w:b/>
          <w:bCs/>
          <w:color w:val="2E5395"/>
          <w:sz w:val="24"/>
          <w:szCs w:val="24"/>
        </w:rPr>
        <w:t>Abstract</w:t>
      </w:r>
    </w:p>
    <w:p w:rsidR="00D468B2" w:rsidRPr="00984A8C" w:rsidRDefault="009F59E0">
      <w:pPr>
        <w:spacing w:after="140" w:line="276" w:lineRule="auto"/>
        <w:jc w:val="both"/>
        <w:rPr>
          <w:sz w:val="22"/>
          <w:szCs w:val="22"/>
        </w:rPr>
      </w:pPr>
      <w:r>
        <w:rPr>
          <w:rFonts w:ascii="Calibri" w:eastAsia="Calibri" w:hAnsi="Calibri" w:cs="Calibri"/>
          <w:sz w:val="22"/>
          <w:szCs w:val="22"/>
        </w:rPr>
        <w:t xml:space="preserve">This study </w:t>
      </w:r>
      <w:r w:rsidR="00E237A6">
        <w:rPr>
          <w:rFonts w:ascii="Calibri" w:eastAsia="Calibri" w:hAnsi="Calibri" w:cs="Calibri"/>
          <w:sz w:val="22"/>
          <w:szCs w:val="22"/>
        </w:rPr>
        <w:t xml:space="preserve">investigated the </w:t>
      </w:r>
      <w:r w:rsidR="00E237A6" w:rsidRPr="00984A8C">
        <w:rPr>
          <w:rFonts w:ascii="Calibri" w:eastAsia="Calibri" w:hAnsi="Calibri" w:cs="Calibri"/>
          <w:sz w:val="22"/>
          <w:szCs w:val="22"/>
        </w:rPr>
        <w:t>effect of aggregate gradation on the workabil</w:t>
      </w:r>
      <w:r w:rsidR="00E237A6">
        <w:rPr>
          <w:rFonts w:ascii="Calibri" w:eastAsia="Calibri" w:hAnsi="Calibri" w:cs="Calibri"/>
          <w:sz w:val="22"/>
          <w:szCs w:val="22"/>
        </w:rPr>
        <w:t xml:space="preserve">ity of fresh concrete by performing a </w:t>
      </w:r>
      <w:r w:rsidR="00E237A6" w:rsidRPr="00984A8C">
        <w:rPr>
          <w:rFonts w:ascii="Calibri" w:eastAsia="Calibri" w:hAnsi="Calibri" w:cs="Calibri"/>
          <w:sz w:val="22"/>
          <w:szCs w:val="22"/>
        </w:rPr>
        <w:t>compacting factor test. Two concrete samples were prepared: Sample 1 used a well-graded mixture of fine and coarse aggregate (mix ratio 1:2:4, water-cement ratio 0.5), and Sample 2 used a single-sized (uniformly graded) coarse aggregate only (mix ratio 1:4, water-cement ratio 0.3). Compacting factor values of 0.986 and 0.813 were recorded for Samples 1 and 2 respectively, a difference of 0.173, confirming that well-graded aggregate produces markedly higher workability than uniformly graded aggregate. The high compacting factor recorded for Sample 1 falls at the boundary of the valid range specified in BS 1881-103, which is discussed as a methodological finding rather than a simple measurement anomaly. Limitations arising from the simultaneous variation of water-cement ratio and mix proportion between samples are also discussed, along with recommendations for a more tightly controlled follow-up test.</w:t>
      </w:r>
    </w:p>
    <w:p w:rsidR="00D468B2" w:rsidRPr="00984A8C" w:rsidRDefault="00E237A6">
      <w:pPr>
        <w:pStyle w:val="Heading2"/>
        <w:spacing w:before="180" w:after="90"/>
        <w:rPr>
          <w:sz w:val="24"/>
          <w:szCs w:val="24"/>
        </w:rPr>
      </w:pPr>
      <w:r w:rsidRPr="00984A8C">
        <w:rPr>
          <w:rFonts w:ascii="Calibri" w:eastAsia="Calibri" w:hAnsi="Calibri" w:cs="Calibri"/>
          <w:b/>
          <w:bCs/>
          <w:color w:val="2E5395"/>
          <w:sz w:val="24"/>
          <w:szCs w:val="24"/>
        </w:rPr>
        <w:t>Keywords</w:t>
      </w:r>
    </w:p>
    <w:p w:rsidR="00D468B2" w:rsidRPr="00984A8C" w:rsidRDefault="00E237A6">
      <w:pPr>
        <w:spacing w:after="140" w:line="276" w:lineRule="auto"/>
        <w:jc w:val="both"/>
        <w:rPr>
          <w:sz w:val="22"/>
          <w:szCs w:val="22"/>
        </w:rPr>
      </w:pPr>
      <w:r w:rsidRPr="00984A8C">
        <w:rPr>
          <w:rFonts w:ascii="Calibri" w:eastAsia="Calibri" w:hAnsi="Calibri" w:cs="Calibri"/>
          <w:sz w:val="22"/>
          <w:szCs w:val="22"/>
        </w:rPr>
        <w:t>aggregate gradation; workability; compacting factor test; fresh concrete; well-graded aggregate</w:t>
      </w:r>
    </w:p>
    <w:p w:rsidR="00D468B2" w:rsidRDefault="00E237A6">
      <w:pPr>
        <w:pStyle w:val="Heading1"/>
        <w:spacing w:before="280" w:after="120"/>
      </w:pPr>
      <w:r>
        <w:rPr>
          <w:rFonts w:ascii="Calibri" w:eastAsia="Calibri" w:hAnsi="Calibri" w:cs="Calibri"/>
          <w:b/>
          <w:bCs/>
          <w:color w:val="1F3864"/>
          <w:sz w:val="24"/>
          <w:szCs w:val="24"/>
        </w:rPr>
        <w:t>1. Introduction</w:t>
      </w:r>
    </w:p>
    <w:p w:rsidR="00D468B2" w:rsidRPr="00984A8C" w:rsidRDefault="00E237A6">
      <w:pPr>
        <w:spacing w:after="140" w:line="276" w:lineRule="auto"/>
        <w:jc w:val="both"/>
        <w:rPr>
          <w:sz w:val="22"/>
          <w:szCs w:val="22"/>
        </w:rPr>
      </w:pPr>
      <w:r w:rsidRPr="00984A8C">
        <w:rPr>
          <w:rFonts w:ascii="Calibri" w:eastAsia="Calibri" w:hAnsi="Calibri" w:cs="Calibri"/>
          <w:sz w:val="22"/>
          <w:szCs w:val="22"/>
        </w:rPr>
        <w:t>Workability is a fundamental property of fresh concrete, governing the ease with which a mix can be transported, placed, compacted, and finished without segregation or loss of homogeneity. Among the factors influencing workability, the particle size distribution</w:t>
      </w:r>
      <w:r w:rsidR="00984A8C" w:rsidRPr="00984A8C">
        <w:rPr>
          <w:rFonts w:ascii="Calibri" w:eastAsia="Calibri" w:hAnsi="Calibri" w:cs="Calibri"/>
          <w:sz w:val="22"/>
          <w:szCs w:val="22"/>
        </w:rPr>
        <w:t xml:space="preserve"> or gradation</w:t>
      </w:r>
      <w:r w:rsidRPr="00984A8C">
        <w:rPr>
          <w:rFonts w:ascii="Calibri" w:eastAsia="Calibri" w:hAnsi="Calibri" w:cs="Calibri"/>
          <w:sz w:val="22"/>
          <w:szCs w:val="22"/>
        </w:rPr>
        <w:t xml:space="preserve"> of the aggregate is one of the most significant.</w:t>
      </w:r>
    </w:p>
    <w:p w:rsidR="00D468B2" w:rsidRPr="00984A8C" w:rsidRDefault="00E237A6">
      <w:pPr>
        <w:spacing w:after="140" w:line="276" w:lineRule="auto"/>
        <w:jc w:val="both"/>
        <w:rPr>
          <w:sz w:val="22"/>
          <w:szCs w:val="22"/>
        </w:rPr>
      </w:pPr>
      <w:r w:rsidRPr="00984A8C">
        <w:rPr>
          <w:rFonts w:ascii="Calibri" w:eastAsia="Calibri" w:hAnsi="Calibri" w:cs="Calibri"/>
          <w:sz w:val="22"/>
          <w:szCs w:val="22"/>
        </w:rPr>
        <w:t>Well-graded aggregates contain a continuous range of particle sizes, in which smaller particles fill the voids left between larger ones. This packing effect reduces the total void content of the mix and allows particles to move past one another more freely during placement, effectively acting as ball bearings within the mix and reducing the water and paste demand needed to achieve a given consistency. Uniformly (single-sized) graded aggregates, by contrast, leave larger inter-particle voids and generate greater internal friction, which tends to reduce workability for an equivalent mix design.</w:t>
      </w:r>
    </w:p>
    <w:p w:rsidR="00D468B2" w:rsidRDefault="00E237A6">
      <w:pPr>
        <w:spacing w:after="140" w:line="276" w:lineRule="auto"/>
        <w:jc w:val="both"/>
      </w:pPr>
      <w:r w:rsidRPr="00984A8C">
        <w:rPr>
          <w:rFonts w:ascii="Calibri" w:eastAsia="Calibri" w:hAnsi="Calibri" w:cs="Calibri"/>
          <w:sz w:val="22"/>
          <w:szCs w:val="22"/>
        </w:rPr>
        <w:t>This study investigates that relationship experimentally, using the compacting factor test to quantify the difference in workability between a well-graded and a uniformly graded aggregate sample.</w:t>
      </w:r>
    </w:p>
    <w:p w:rsidR="00D468B2" w:rsidRDefault="00E237A6">
      <w:pPr>
        <w:pStyle w:val="Heading1"/>
        <w:spacing w:before="280" w:after="120"/>
      </w:pPr>
      <w:r>
        <w:rPr>
          <w:rFonts w:ascii="Calibri" w:eastAsia="Calibri" w:hAnsi="Calibri" w:cs="Calibri"/>
          <w:b/>
          <w:bCs/>
          <w:color w:val="1F3864"/>
          <w:sz w:val="24"/>
          <w:szCs w:val="24"/>
        </w:rPr>
        <w:t>2. Materials and Methods</w:t>
      </w:r>
    </w:p>
    <w:p w:rsidR="00D468B2" w:rsidRPr="00984A8C" w:rsidRDefault="00E237A6">
      <w:pPr>
        <w:pStyle w:val="Heading2"/>
        <w:spacing w:before="180" w:after="90"/>
        <w:rPr>
          <w:sz w:val="24"/>
          <w:szCs w:val="24"/>
        </w:rPr>
      </w:pPr>
      <w:r w:rsidRPr="00984A8C">
        <w:rPr>
          <w:rFonts w:ascii="Calibri" w:eastAsia="Calibri" w:hAnsi="Calibri" w:cs="Calibri"/>
          <w:b/>
          <w:bCs/>
          <w:color w:val="2E5395"/>
          <w:sz w:val="24"/>
          <w:szCs w:val="24"/>
        </w:rPr>
        <w:t>2.1 Mix Proportions</w:t>
      </w:r>
    </w:p>
    <w:p w:rsidR="00D468B2" w:rsidRPr="00984A8C" w:rsidRDefault="00E237A6">
      <w:pPr>
        <w:spacing w:after="140" w:line="276" w:lineRule="auto"/>
        <w:jc w:val="both"/>
        <w:rPr>
          <w:sz w:val="22"/>
          <w:szCs w:val="22"/>
        </w:rPr>
      </w:pPr>
      <w:r w:rsidRPr="00984A8C">
        <w:rPr>
          <w:rFonts w:ascii="Calibri" w:eastAsia="Calibri" w:hAnsi="Calibri" w:cs="Calibri"/>
          <w:sz w:val="22"/>
          <w:szCs w:val="22"/>
        </w:rPr>
        <w:t>Two concrete samples were prepared for comparison:</w:t>
      </w:r>
    </w:p>
    <w:p w:rsidR="00D468B2" w:rsidRPr="00984A8C" w:rsidRDefault="00E237A6">
      <w:pPr>
        <w:pStyle w:val="ListParagraph"/>
        <w:numPr>
          <w:ilvl w:val="0"/>
          <w:numId w:val="2"/>
        </w:numPr>
        <w:spacing w:after="70"/>
        <w:rPr>
          <w:sz w:val="22"/>
          <w:szCs w:val="22"/>
        </w:rPr>
      </w:pPr>
      <w:r w:rsidRPr="00984A8C">
        <w:rPr>
          <w:rFonts w:ascii="Calibri" w:eastAsia="Calibri" w:hAnsi="Calibri" w:cs="Calibri"/>
          <w:sz w:val="22"/>
          <w:szCs w:val="22"/>
        </w:rPr>
        <w:lastRenderedPageBreak/>
        <w:t xml:space="preserve">Sample 1 (Well-graded): cement, fine aggregate and coarse aggregate in a 1:2:4 ratio (1000 </w:t>
      </w:r>
      <w:proofErr w:type="gramStart"/>
      <w:r w:rsidRPr="00984A8C">
        <w:rPr>
          <w:rFonts w:ascii="Calibri" w:eastAsia="Calibri" w:hAnsi="Calibri" w:cs="Calibri"/>
          <w:sz w:val="22"/>
          <w:szCs w:val="22"/>
        </w:rPr>
        <w:t>g :</w:t>
      </w:r>
      <w:proofErr w:type="gramEnd"/>
      <w:r w:rsidRPr="00984A8C">
        <w:rPr>
          <w:rFonts w:ascii="Calibri" w:eastAsia="Calibri" w:hAnsi="Calibri" w:cs="Calibri"/>
          <w:sz w:val="22"/>
          <w:szCs w:val="22"/>
        </w:rPr>
        <w:t xml:space="preserve"> 2000 g : 4000 g), with a water-cement ratio of 0.5 (500 mL water).</w:t>
      </w:r>
    </w:p>
    <w:p w:rsidR="00D468B2" w:rsidRPr="00984A8C" w:rsidRDefault="00E237A6">
      <w:pPr>
        <w:pStyle w:val="ListParagraph"/>
        <w:numPr>
          <w:ilvl w:val="0"/>
          <w:numId w:val="2"/>
        </w:numPr>
        <w:spacing w:after="70"/>
        <w:rPr>
          <w:sz w:val="22"/>
          <w:szCs w:val="22"/>
        </w:rPr>
      </w:pPr>
      <w:r w:rsidRPr="00984A8C">
        <w:rPr>
          <w:rFonts w:ascii="Calibri" w:eastAsia="Calibri" w:hAnsi="Calibri" w:cs="Calibri"/>
          <w:sz w:val="22"/>
          <w:szCs w:val="22"/>
        </w:rPr>
        <w:t xml:space="preserve">Sample 2 (Uniformly graded): cement and coarse aggregate only, in a 1:4 ratio (1000 </w:t>
      </w:r>
      <w:proofErr w:type="gramStart"/>
      <w:r w:rsidRPr="00984A8C">
        <w:rPr>
          <w:rFonts w:ascii="Calibri" w:eastAsia="Calibri" w:hAnsi="Calibri" w:cs="Calibri"/>
          <w:sz w:val="22"/>
          <w:szCs w:val="22"/>
        </w:rPr>
        <w:t>g :</w:t>
      </w:r>
      <w:proofErr w:type="gramEnd"/>
      <w:r w:rsidRPr="00984A8C">
        <w:rPr>
          <w:rFonts w:ascii="Calibri" w:eastAsia="Calibri" w:hAnsi="Calibri" w:cs="Calibri"/>
          <w:sz w:val="22"/>
          <w:szCs w:val="22"/>
        </w:rPr>
        <w:t xml:space="preserve"> 4000 g, no fine aggregate), with a water-cement ratio of 0.3 (300 mL water).</w:t>
      </w:r>
    </w:p>
    <w:p w:rsidR="00D468B2" w:rsidRPr="00984A8C" w:rsidRDefault="00E237A6">
      <w:pPr>
        <w:spacing w:after="140" w:line="276" w:lineRule="auto"/>
        <w:jc w:val="both"/>
        <w:rPr>
          <w:sz w:val="22"/>
          <w:szCs w:val="22"/>
        </w:rPr>
      </w:pPr>
      <w:r w:rsidRPr="00984A8C">
        <w:rPr>
          <w:rFonts w:ascii="Calibri" w:eastAsia="Calibri" w:hAnsi="Calibri" w:cs="Calibri"/>
          <w:i/>
          <w:iCs/>
          <w:sz w:val="22"/>
          <w:szCs w:val="22"/>
        </w:rPr>
        <w:t>Note on mix design: because the water-cement ratio and overall mix proportion were also changed between Sample 1 and Sample 2 in addition to the aggregate gradation, this comparison reflects the combined effect of gradation, paste volume and water content rather than gradation in isolation. This is addressed further in Section 5 (Limitations).</w:t>
      </w:r>
    </w:p>
    <w:p w:rsidR="00D468B2" w:rsidRPr="00984A8C" w:rsidRDefault="00E237A6">
      <w:pPr>
        <w:pStyle w:val="Heading2"/>
        <w:spacing w:before="180" w:after="90"/>
        <w:rPr>
          <w:sz w:val="24"/>
          <w:szCs w:val="24"/>
        </w:rPr>
      </w:pPr>
      <w:r w:rsidRPr="00984A8C">
        <w:rPr>
          <w:rFonts w:ascii="Calibri" w:eastAsia="Calibri" w:hAnsi="Calibri" w:cs="Calibri"/>
          <w:b/>
          <w:bCs/>
          <w:color w:val="2E5395"/>
          <w:sz w:val="24"/>
          <w:szCs w:val="24"/>
        </w:rPr>
        <w:t>2.2 Apparatus</w:t>
      </w:r>
    </w:p>
    <w:p w:rsidR="00D468B2" w:rsidRPr="00984A8C" w:rsidRDefault="00E237A6">
      <w:pPr>
        <w:pStyle w:val="ListParagraph"/>
        <w:numPr>
          <w:ilvl w:val="0"/>
          <w:numId w:val="2"/>
        </w:numPr>
        <w:spacing w:after="70"/>
        <w:rPr>
          <w:sz w:val="22"/>
          <w:szCs w:val="22"/>
        </w:rPr>
      </w:pPr>
      <w:r w:rsidRPr="00984A8C">
        <w:rPr>
          <w:rFonts w:ascii="Calibri" w:eastAsia="Calibri" w:hAnsi="Calibri" w:cs="Calibri"/>
          <w:sz w:val="22"/>
          <w:szCs w:val="22"/>
        </w:rPr>
        <w:t>Compacting factor apparatus (upper hopper, lower hopper, and cylinder)</w:t>
      </w:r>
    </w:p>
    <w:p w:rsidR="00D468B2" w:rsidRPr="00984A8C" w:rsidRDefault="00E237A6">
      <w:pPr>
        <w:pStyle w:val="ListParagraph"/>
        <w:numPr>
          <w:ilvl w:val="0"/>
          <w:numId w:val="2"/>
        </w:numPr>
        <w:spacing w:after="70"/>
        <w:rPr>
          <w:sz w:val="22"/>
          <w:szCs w:val="22"/>
        </w:rPr>
      </w:pPr>
      <w:r w:rsidRPr="00984A8C">
        <w:rPr>
          <w:rFonts w:ascii="Calibri" w:eastAsia="Calibri" w:hAnsi="Calibri" w:cs="Calibri"/>
          <w:sz w:val="22"/>
          <w:szCs w:val="22"/>
        </w:rPr>
        <w:t>Weighing balance</w:t>
      </w:r>
    </w:p>
    <w:p w:rsidR="00D468B2" w:rsidRPr="00984A8C" w:rsidRDefault="00E237A6">
      <w:pPr>
        <w:pStyle w:val="ListParagraph"/>
        <w:numPr>
          <w:ilvl w:val="0"/>
          <w:numId w:val="2"/>
        </w:numPr>
        <w:spacing w:after="70"/>
        <w:rPr>
          <w:sz w:val="22"/>
          <w:szCs w:val="22"/>
        </w:rPr>
      </w:pPr>
      <w:r w:rsidRPr="00984A8C">
        <w:rPr>
          <w:rFonts w:ascii="Calibri" w:eastAsia="Calibri" w:hAnsi="Calibri" w:cs="Calibri"/>
          <w:sz w:val="22"/>
          <w:szCs w:val="22"/>
        </w:rPr>
        <w:t>Tamping rod</w:t>
      </w:r>
    </w:p>
    <w:p w:rsidR="00D468B2" w:rsidRPr="00984A8C" w:rsidRDefault="00E237A6">
      <w:pPr>
        <w:pStyle w:val="ListParagraph"/>
        <w:numPr>
          <w:ilvl w:val="0"/>
          <w:numId w:val="2"/>
        </w:numPr>
        <w:spacing w:after="70"/>
        <w:rPr>
          <w:sz w:val="22"/>
          <w:szCs w:val="22"/>
        </w:rPr>
      </w:pPr>
      <w:r w:rsidRPr="00984A8C">
        <w:rPr>
          <w:rFonts w:ascii="Calibri" w:eastAsia="Calibri" w:hAnsi="Calibri" w:cs="Calibri"/>
          <w:sz w:val="22"/>
          <w:szCs w:val="22"/>
        </w:rPr>
        <w:t>Trowels</w:t>
      </w:r>
    </w:p>
    <w:p w:rsidR="00D468B2" w:rsidRPr="00984A8C" w:rsidRDefault="00E237A6">
      <w:pPr>
        <w:pStyle w:val="ListParagraph"/>
        <w:numPr>
          <w:ilvl w:val="0"/>
          <w:numId w:val="2"/>
        </w:numPr>
        <w:spacing w:after="70"/>
        <w:rPr>
          <w:sz w:val="22"/>
          <w:szCs w:val="22"/>
        </w:rPr>
      </w:pPr>
      <w:r w:rsidRPr="00984A8C">
        <w:rPr>
          <w:rFonts w:ascii="Calibri" w:eastAsia="Calibri" w:hAnsi="Calibri" w:cs="Calibri"/>
          <w:sz w:val="22"/>
          <w:szCs w:val="22"/>
        </w:rPr>
        <w:t>Measuring cylinder</w:t>
      </w:r>
    </w:p>
    <w:p w:rsidR="00D468B2" w:rsidRPr="00984A8C" w:rsidRDefault="00E237A6">
      <w:pPr>
        <w:pStyle w:val="Heading2"/>
        <w:spacing w:before="180" w:after="90"/>
        <w:rPr>
          <w:sz w:val="24"/>
          <w:szCs w:val="24"/>
        </w:rPr>
      </w:pPr>
      <w:r w:rsidRPr="00984A8C">
        <w:rPr>
          <w:rFonts w:ascii="Calibri" w:eastAsia="Calibri" w:hAnsi="Calibri" w:cs="Calibri"/>
          <w:b/>
          <w:bCs/>
          <w:color w:val="2E5395"/>
          <w:sz w:val="24"/>
          <w:szCs w:val="24"/>
        </w:rPr>
        <w:t>2.3 Test Procedure</w:t>
      </w:r>
    </w:p>
    <w:p w:rsidR="00D468B2" w:rsidRPr="00984A8C" w:rsidRDefault="00E237A6">
      <w:pPr>
        <w:spacing w:after="140" w:line="276" w:lineRule="auto"/>
        <w:jc w:val="both"/>
        <w:rPr>
          <w:sz w:val="22"/>
          <w:szCs w:val="22"/>
        </w:rPr>
      </w:pPr>
      <w:r w:rsidRPr="00984A8C">
        <w:rPr>
          <w:rFonts w:ascii="Calibri" w:eastAsia="Calibri" w:hAnsi="Calibri" w:cs="Calibri"/>
          <w:sz w:val="22"/>
          <w:szCs w:val="22"/>
        </w:rPr>
        <w:t>The compacting factor test was carried out in accordance with the method described in BS 1881-103, as follows:</w:t>
      </w:r>
    </w:p>
    <w:p w:rsidR="00D468B2" w:rsidRPr="00984A8C" w:rsidRDefault="00E237A6">
      <w:pPr>
        <w:pStyle w:val="ListParagraph"/>
        <w:numPr>
          <w:ilvl w:val="0"/>
          <w:numId w:val="3"/>
        </w:numPr>
        <w:spacing w:after="70"/>
        <w:rPr>
          <w:sz w:val="22"/>
          <w:szCs w:val="22"/>
        </w:rPr>
      </w:pPr>
      <w:r w:rsidRPr="00984A8C">
        <w:rPr>
          <w:rFonts w:ascii="Calibri" w:eastAsia="Calibri" w:hAnsi="Calibri" w:cs="Calibri"/>
          <w:sz w:val="22"/>
          <w:szCs w:val="22"/>
        </w:rPr>
        <w:t>The internal surfaces of the hoppers and cylinder were cleaned and lightly oiled.</w:t>
      </w:r>
    </w:p>
    <w:p w:rsidR="00D468B2" w:rsidRPr="00984A8C" w:rsidRDefault="00E237A6">
      <w:pPr>
        <w:pStyle w:val="ListParagraph"/>
        <w:numPr>
          <w:ilvl w:val="0"/>
          <w:numId w:val="3"/>
        </w:numPr>
        <w:spacing w:after="70"/>
        <w:rPr>
          <w:sz w:val="22"/>
          <w:szCs w:val="22"/>
        </w:rPr>
      </w:pPr>
      <w:r w:rsidRPr="00984A8C">
        <w:rPr>
          <w:rFonts w:ascii="Calibri" w:eastAsia="Calibri" w:hAnsi="Calibri" w:cs="Calibri"/>
          <w:sz w:val="22"/>
          <w:szCs w:val="22"/>
        </w:rPr>
        <w:t>The dry constituents (cement, fine aggregate where applicable, and coarse aggregate) were weighed and mixed thoroughly, with water added gradually to produce a homogeneous fresh concrete mix.</w:t>
      </w:r>
    </w:p>
    <w:p w:rsidR="00D468B2" w:rsidRPr="00984A8C" w:rsidRDefault="00E237A6">
      <w:pPr>
        <w:pStyle w:val="ListParagraph"/>
        <w:numPr>
          <w:ilvl w:val="0"/>
          <w:numId w:val="3"/>
        </w:numPr>
        <w:spacing w:after="70"/>
        <w:rPr>
          <w:sz w:val="22"/>
          <w:szCs w:val="22"/>
        </w:rPr>
      </w:pPr>
      <w:r w:rsidRPr="00984A8C">
        <w:rPr>
          <w:rFonts w:ascii="Calibri" w:eastAsia="Calibri" w:hAnsi="Calibri" w:cs="Calibri"/>
          <w:sz w:val="22"/>
          <w:szCs w:val="22"/>
        </w:rPr>
        <w:t>The sample was placed gently into the upper hopper using a hand scoop, without compaction.</w:t>
      </w:r>
    </w:p>
    <w:p w:rsidR="00D468B2" w:rsidRPr="00984A8C" w:rsidRDefault="00E237A6">
      <w:pPr>
        <w:pStyle w:val="ListParagraph"/>
        <w:numPr>
          <w:ilvl w:val="0"/>
          <w:numId w:val="3"/>
        </w:numPr>
        <w:spacing w:after="70"/>
        <w:rPr>
          <w:sz w:val="22"/>
          <w:szCs w:val="22"/>
        </w:rPr>
      </w:pPr>
      <w:r w:rsidRPr="00984A8C">
        <w:rPr>
          <w:rFonts w:ascii="Calibri" w:eastAsia="Calibri" w:hAnsi="Calibri" w:cs="Calibri"/>
          <w:sz w:val="22"/>
          <w:szCs w:val="22"/>
        </w:rPr>
        <w:t>The trapdoor of the upper hopper was opened, allowing the concrete to fall freely into the lower hopper.</w:t>
      </w:r>
    </w:p>
    <w:p w:rsidR="00D468B2" w:rsidRPr="00984A8C" w:rsidRDefault="00E237A6">
      <w:pPr>
        <w:pStyle w:val="ListParagraph"/>
        <w:numPr>
          <w:ilvl w:val="0"/>
          <w:numId w:val="3"/>
        </w:numPr>
        <w:spacing w:after="70"/>
        <w:rPr>
          <w:sz w:val="22"/>
          <w:szCs w:val="22"/>
        </w:rPr>
      </w:pPr>
      <w:r w:rsidRPr="00984A8C">
        <w:rPr>
          <w:rFonts w:ascii="Calibri" w:eastAsia="Calibri" w:hAnsi="Calibri" w:cs="Calibri"/>
          <w:sz w:val="22"/>
          <w:szCs w:val="22"/>
        </w:rPr>
        <w:t>The trapdoor of the lower hopper was then opened, allowing the concrete to fall into the cylinder, producing a partially compacted sample.</w:t>
      </w:r>
    </w:p>
    <w:p w:rsidR="00D468B2" w:rsidRPr="00984A8C" w:rsidRDefault="00E237A6">
      <w:pPr>
        <w:pStyle w:val="ListParagraph"/>
        <w:numPr>
          <w:ilvl w:val="0"/>
          <w:numId w:val="3"/>
        </w:numPr>
        <w:spacing w:after="70"/>
        <w:rPr>
          <w:sz w:val="22"/>
          <w:szCs w:val="22"/>
        </w:rPr>
      </w:pPr>
      <w:r w:rsidRPr="00984A8C">
        <w:rPr>
          <w:rFonts w:ascii="Calibri" w:eastAsia="Calibri" w:hAnsi="Calibri" w:cs="Calibri"/>
          <w:sz w:val="22"/>
          <w:szCs w:val="22"/>
        </w:rPr>
        <w:t>Excess concrete was struck off level with the top of the cylinder, and the weight of the partially compacted concrete was recorded.</w:t>
      </w:r>
    </w:p>
    <w:p w:rsidR="00D468B2" w:rsidRPr="00984A8C" w:rsidRDefault="00E237A6">
      <w:pPr>
        <w:pStyle w:val="ListParagraph"/>
        <w:numPr>
          <w:ilvl w:val="0"/>
          <w:numId w:val="3"/>
        </w:numPr>
        <w:spacing w:after="70"/>
        <w:rPr>
          <w:sz w:val="22"/>
          <w:szCs w:val="22"/>
        </w:rPr>
      </w:pPr>
      <w:r w:rsidRPr="00984A8C">
        <w:rPr>
          <w:rFonts w:ascii="Calibri" w:eastAsia="Calibri" w:hAnsi="Calibri" w:cs="Calibri"/>
          <w:sz w:val="22"/>
          <w:szCs w:val="22"/>
        </w:rPr>
        <w:t>The cylinder was emptied and refilled with the same mix in four layers, each heavily tamped to achieve full compaction, and the weight of the fully compacted concrete was recorded.</w:t>
      </w:r>
    </w:p>
    <w:p w:rsidR="00D468B2" w:rsidRPr="00984A8C" w:rsidRDefault="00E237A6">
      <w:pPr>
        <w:spacing w:after="140" w:line="276" w:lineRule="auto"/>
        <w:jc w:val="both"/>
        <w:rPr>
          <w:sz w:val="22"/>
          <w:szCs w:val="22"/>
        </w:rPr>
      </w:pPr>
      <w:r w:rsidRPr="00984A8C">
        <w:rPr>
          <w:rFonts w:ascii="Calibri" w:eastAsia="Calibri" w:hAnsi="Calibri" w:cs="Calibri"/>
          <w:sz w:val="22"/>
          <w:szCs w:val="22"/>
        </w:rPr>
        <w:t>The compacting factor was then calculated as the ratio of the weight of partially compacted concrete to the weight of fully compacted concrete.</w:t>
      </w:r>
    </w:p>
    <w:p w:rsidR="00D468B2" w:rsidRDefault="00E237A6">
      <w:pPr>
        <w:pStyle w:val="Heading1"/>
        <w:spacing w:before="280" w:after="120"/>
      </w:pPr>
      <w:r>
        <w:rPr>
          <w:rFonts w:ascii="Calibri" w:eastAsia="Calibri" w:hAnsi="Calibri" w:cs="Calibri"/>
          <w:b/>
          <w:bCs/>
          <w:color w:val="1F3864"/>
          <w:sz w:val="24"/>
          <w:szCs w:val="24"/>
        </w:rPr>
        <w:t>3. Results</w:t>
      </w:r>
    </w:p>
    <w:p w:rsidR="00D468B2" w:rsidRPr="00984A8C" w:rsidRDefault="00E237A6">
      <w:pPr>
        <w:spacing w:after="140" w:line="276" w:lineRule="auto"/>
        <w:jc w:val="both"/>
        <w:rPr>
          <w:sz w:val="22"/>
          <w:szCs w:val="22"/>
        </w:rPr>
      </w:pPr>
      <w:r w:rsidRPr="00984A8C">
        <w:rPr>
          <w:rFonts w:ascii="Calibri" w:eastAsia="Calibri" w:hAnsi="Calibri" w:cs="Calibri"/>
          <w:sz w:val="22"/>
          <w:szCs w:val="22"/>
        </w:rPr>
        <w:t xml:space="preserve">Table 1 </w:t>
      </w:r>
      <w:r w:rsidR="00984A8C" w:rsidRPr="00984A8C">
        <w:rPr>
          <w:rFonts w:ascii="Calibri" w:eastAsia="Calibri" w:hAnsi="Calibri" w:cs="Calibri"/>
          <w:sz w:val="22"/>
          <w:szCs w:val="22"/>
        </w:rPr>
        <w:t>summarizes</w:t>
      </w:r>
      <w:r w:rsidRPr="00984A8C">
        <w:rPr>
          <w:rFonts w:ascii="Calibri" w:eastAsia="Calibri" w:hAnsi="Calibri" w:cs="Calibri"/>
          <w:sz w:val="22"/>
          <w:szCs w:val="22"/>
        </w:rPr>
        <w:t xml:space="preserve"> the measured weights and computed compacting factors for both samples.</w:t>
      </w:r>
    </w:p>
    <w:tbl>
      <w:tblPr>
        <w:tblW w:w="9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32"/>
        <w:gridCol w:w="1511"/>
        <w:gridCol w:w="1515"/>
        <w:gridCol w:w="1851"/>
        <w:gridCol w:w="1856"/>
        <w:gridCol w:w="1485"/>
      </w:tblGrid>
      <w:tr w:rsidR="00D468B2">
        <w:trPr>
          <w:tblHeader/>
        </w:trPr>
        <w:tc>
          <w:tcPr>
            <w:tcW w:w="1550" w:type="dxa"/>
            <w:shd w:val="clear" w:color="auto" w:fill="1F3864"/>
            <w:tcMar>
              <w:top w:w="80" w:type="dxa"/>
              <w:left w:w="100" w:type="dxa"/>
              <w:bottom w:w="80" w:type="dxa"/>
              <w:right w:w="100" w:type="dxa"/>
            </w:tcMar>
          </w:tcPr>
          <w:p w:rsidR="00D468B2" w:rsidRDefault="00E237A6">
            <w:pPr>
              <w:jc w:val="center"/>
            </w:pPr>
            <w:r>
              <w:rPr>
                <w:rFonts w:ascii="Calibri" w:eastAsia="Calibri" w:hAnsi="Calibri" w:cs="Calibri"/>
                <w:b/>
                <w:bCs/>
                <w:color w:val="FFFFFF"/>
                <w:sz w:val="19"/>
                <w:szCs w:val="19"/>
              </w:rPr>
              <w:t>Sample</w:t>
            </w:r>
          </w:p>
        </w:tc>
        <w:tc>
          <w:tcPr>
            <w:tcW w:w="1550" w:type="dxa"/>
            <w:shd w:val="clear" w:color="auto" w:fill="1F3864"/>
            <w:tcMar>
              <w:top w:w="80" w:type="dxa"/>
              <w:left w:w="100" w:type="dxa"/>
              <w:bottom w:w="80" w:type="dxa"/>
              <w:right w:w="100" w:type="dxa"/>
            </w:tcMar>
          </w:tcPr>
          <w:p w:rsidR="00D468B2" w:rsidRDefault="00E237A6">
            <w:pPr>
              <w:jc w:val="center"/>
            </w:pPr>
            <w:r>
              <w:rPr>
                <w:rFonts w:ascii="Calibri" w:eastAsia="Calibri" w:hAnsi="Calibri" w:cs="Calibri"/>
                <w:b/>
                <w:bCs/>
                <w:color w:val="FFFFFF"/>
                <w:sz w:val="19"/>
                <w:szCs w:val="19"/>
              </w:rPr>
              <w:t>W1 (g)</w:t>
            </w:r>
          </w:p>
        </w:tc>
        <w:tc>
          <w:tcPr>
            <w:tcW w:w="1550" w:type="dxa"/>
            <w:shd w:val="clear" w:color="auto" w:fill="1F3864"/>
            <w:tcMar>
              <w:top w:w="80" w:type="dxa"/>
              <w:left w:w="100" w:type="dxa"/>
              <w:bottom w:w="80" w:type="dxa"/>
              <w:right w:w="100" w:type="dxa"/>
            </w:tcMar>
          </w:tcPr>
          <w:p w:rsidR="00D468B2" w:rsidRDefault="00E237A6">
            <w:pPr>
              <w:jc w:val="center"/>
            </w:pPr>
            <w:r>
              <w:rPr>
                <w:rFonts w:ascii="Calibri" w:eastAsia="Calibri" w:hAnsi="Calibri" w:cs="Calibri"/>
                <w:b/>
                <w:bCs/>
                <w:color w:val="FFFFFF"/>
                <w:sz w:val="19"/>
                <w:szCs w:val="19"/>
              </w:rPr>
              <w:t>W2 (g)</w:t>
            </w:r>
          </w:p>
        </w:tc>
        <w:tc>
          <w:tcPr>
            <w:tcW w:w="1900" w:type="dxa"/>
            <w:shd w:val="clear" w:color="auto" w:fill="1F3864"/>
            <w:tcMar>
              <w:top w:w="80" w:type="dxa"/>
              <w:left w:w="100" w:type="dxa"/>
              <w:bottom w:w="80" w:type="dxa"/>
              <w:right w:w="100" w:type="dxa"/>
            </w:tcMar>
          </w:tcPr>
          <w:p w:rsidR="00D468B2" w:rsidRDefault="00E237A6">
            <w:pPr>
              <w:jc w:val="center"/>
            </w:pPr>
            <w:r>
              <w:rPr>
                <w:rFonts w:ascii="Calibri" w:eastAsia="Calibri" w:hAnsi="Calibri" w:cs="Calibri"/>
                <w:b/>
                <w:bCs/>
                <w:color w:val="FFFFFF"/>
                <w:sz w:val="19"/>
                <w:szCs w:val="19"/>
              </w:rPr>
              <w:t>W3 (g)</w:t>
            </w:r>
          </w:p>
        </w:tc>
        <w:tc>
          <w:tcPr>
            <w:tcW w:w="1900" w:type="dxa"/>
            <w:shd w:val="clear" w:color="auto" w:fill="1F3864"/>
            <w:tcMar>
              <w:top w:w="80" w:type="dxa"/>
              <w:left w:w="100" w:type="dxa"/>
              <w:bottom w:w="80" w:type="dxa"/>
              <w:right w:w="100" w:type="dxa"/>
            </w:tcMar>
          </w:tcPr>
          <w:p w:rsidR="00D468B2" w:rsidRDefault="00E237A6">
            <w:pPr>
              <w:jc w:val="center"/>
            </w:pPr>
            <w:r>
              <w:rPr>
                <w:rFonts w:ascii="Calibri" w:eastAsia="Calibri" w:hAnsi="Calibri" w:cs="Calibri"/>
                <w:b/>
                <w:bCs/>
                <w:color w:val="FFFFFF"/>
                <w:sz w:val="19"/>
                <w:szCs w:val="19"/>
              </w:rPr>
              <w:t>W2−W1 / W3−W1 (g)</w:t>
            </w:r>
          </w:p>
        </w:tc>
        <w:tc>
          <w:tcPr>
            <w:tcW w:w="1500" w:type="dxa"/>
            <w:shd w:val="clear" w:color="auto" w:fill="1F3864"/>
            <w:tcMar>
              <w:top w:w="80" w:type="dxa"/>
              <w:left w:w="100" w:type="dxa"/>
              <w:bottom w:w="80" w:type="dxa"/>
              <w:right w:w="100" w:type="dxa"/>
            </w:tcMar>
          </w:tcPr>
          <w:p w:rsidR="00D468B2" w:rsidRDefault="00E237A6">
            <w:pPr>
              <w:jc w:val="center"/>
            </w:pPr>
            <w:r>
              <w:rPr>
                <w:rFonts w:ascii="Calibri" w:eastAsia="Calibri" w:hAnsi="Calibri" w:cs="Calibri"/>
                <w:b/>
                <w:bCs/>
                <w:color w:val="FFFFFF"/>
                <w:sz w:val="19"/>
                <w:szCs w:val="19"/>
              </w:rPr>
              <w:t>Compacting Factor</w:t>
            </w:r>
          </w:p>
        </w:tc>
      </w:tr>
      <w:tr w:rsidR="00D468B2">
        <w:tc>
          <w:tcPr>
            <w:tcW w:w="1550" w:type="dxa"/>
            <w:tcMar>
              <w:top w:w="70" w:type="dxa"/>
              <w:left w:w="100" w:type="dxa"/>
              <w:bottom w:w="70" w:type="dxa"/>
              <w:right w:w="100" w:type="dxa"/>
            </w:tcMar>
          </w:tcPr>
          <w:p w:rsidR="00D468B2" w:rsidRPr="00984A8C" w:rsidRDefault="00E237A6" w:rsidP="00984A8C">
            <w:pPr>
              <w:pStyle w:val="ListParagraph"/>
              <w:numPr>
                <w:ilvl w:val="0"/>
                <w:numId w:val="4"/>
              </w:numPr>
              <w:jc w:val="center"/>
            </w:pPr>
            <w:r w:rsidRPr="00984A8C">
              <w:rPr>
                <w:rFonts w:ascii="Calibri" w:eastAsia="Calibri" w:hAnsi="Calibri" w:cs="Calibri"/>
              </w:rPr>
              <w:t>Well-graded</w:t>
            </w:r>
          </w:p>
        </w:tc>
        <w:tc>
          <w:tcPr>
            <w:tcW w:w="1550" w:type="dxa"/>
            <w:tcMar>
              <w:top w:w="70" w:type="dxa"/>
              <w:left w:w="100" w:type="dxa"/>
              <w:bottom w:w="70" w:type="dxa"/>
              <w:right w:w="100" w:type="dxa"/>
            </w:tcMar>
          </w:tcPr>
          <w:p w:rsidR="00D468B2" w:rsidRPr="00984A8C" w:rsidRDefault="00E237A6">
            <w:pPr>
              <w:jc w:val="center"/>
            </w:pPr>
            <w:r w:rsidRPr="00984A8C">
              <w:rPr>
                <w:rFonts w:ascii="Calibri" w:eastAsia="Calibri" w:hAnsi="Calibri" w:cs="Calibri"/>
              </w:rPr>
              <w:t>3250</w:t>
            </w:r>
          </w:p>
        </w:tc>
        <w:tc>
          <w:tcPr>
            <w:tcW w:w="1550" w:type="dxa"/>
            <w:tcMar>
              <w:top w:w="70" w:type="dxa"/>
              <w:left w:w="100" w:type="dxa"/>
              <w:bottom w:w="70" w:type="dxa"/>
              <w:right w:w="100" w:type="dxa"/>
            </w:tcMar>
          </w:tcPr>
          <w:p w:rsidR="00D468B2" w:rsidRPr="00984A8C" w:rsidRDefault="00E237A6">
            <w:pPr>
              <w:jc w:val="center"/>
            </w:pPr>
            <w:r w:rsidRPr="00984A8C">
              <w:rPr>
                <w:rFonts w:ascii="Calibri" w:eastAsia="Calibri" w:hAnsi="Calibri" w:cs="Calibri"/>
              </w:rPr>
              <w:t>10550</w:t>
            </w:r>
          </w:p>
        </w:tc>
        <w:tc>
          <w:tcPr>
            <w:tcW w:w="1900" w:type="dxa"/>
            <w:tcMar>
              <w:top w:w="70" w:type="dxa"/>
              <w:left w:w="100" w:type="dxa"/>
              <w:bottom w:w="70" w:type="dxa"/>
              <w:right w:w="100" w:type="dxa"/>
            </w:tcMar>
          </w:tcPr>
          <w:p w:rsidR="00D468B2" w:rsidRPr="00984A8C" w:rsidRDefault="00E237A6">
            <w:pPr>
              <w:jc w:val="center"/>
            </w:pPr>
            <w:r w:rsidRPr="00984A8C">
              <w:rPr>
                <w:rFonts w:ascii="Calibri" w:eastAsia="Calibri" w:hAnsi="Calibri" w:cs="Calibri"/>
              </w:rPr>
              <w:t>10650</w:t>
            </w:r>
          </w:p>
        </w:tc>
        <w:tc>
          <w:tcPr>
            <w:tcW w:w="1900" w:type="dxa"/>
            <w:tcMar>
              <w:top w:w="70" w:type="dxa"/>
              <w:left w:w="100" w:type="dxa"/>
              <w:bottom w:w="70" w:type="dxa"/>
              <w:right w:w="100" w:type="dxa"/>
            </w:tcMar>
          </w:tcPr>
          <w:p w:rsidR="00D468B2" w:rsidRPr="00984A8C" w:rsidRDefault="00E237A6">
            <w:pPr>
              <w:jc w:val="center"/>
            </w:pPr>
            <w:r w:rsidRPr="00984A8C">
              <w:rPr>
                <w:rFonts w:ascii="Calibri" w:eastAsia="Calibri" w:hAnsi="Calibri" w:cs="Calibri"/>
              </w:rPr>
              <w:t>7300 / 7400</w:t>
            </w:r>
          </w:p>
        </w:tc>
        <w:tc>
          <w:tcPr>
            <w:tcW w:w="1500" w:type="dxa"/>
            <w:tcMar>
              <w:top w:w="70" w:type="dxa"/>
              <w:left w:w="100" w:type="dxa"/>
              <w:bottom w:w="70" w:type="dxa"/>
              <w:right w:w="100" w:type="dxa"/>
            </w:tcMar>
          </w:tcPr>
          <w:p w:rsidR="00D468B2" w:rsidRPr="00984A8C" w:rsidRDefault="00E237A6">
            <w:pPr>
              <w:jc w:val="center"/>
            </w:pPr>
            <w:r w:rsidRPr="00984A8C">
              <w:rPr>
                <w:rFonts w:ascii="Calibri" w:eastAsia="Calibri" w:hAnsi="Calibri" w:cs="Calibri"/>
                <w:b/>
                <w:bCs/>
              </w:rPr>
              <w:t>0.986</w:t>
            </w:r>
          </w:p>
        </w:tc>
      </w:tr>
      <w:tr w:rsidR="00D468B2">
        <w:tc>
          <w:tcPr>
            <w:tcW w:w="1550" w:type="dxa"/>
            <w:tcMar>
              <w:top w:w="70" w:type="dxa"/>
              <w:left w:w="100" w:type="dxa"/>
              <w:bottom w:w="70" w:type="dxa"/>
              <w:right w:w="100" w:type="dxa"/>
            </w:tcMar>
          </w:tcPr>
          <w:p w:rsidR="00D468B2" w:rsidRPr="00984A8C" w:rsidRDefault="00E237A6" w:rsidP="00984A8C">
            <w:pPr>
              <w:pStyle w:val="ListParagraph"/>
              <w:numPr>
                <w:ilvl w:val="0"/>
                <w:numId w:val="4"/>
              </w:numPr>
              <w:jc w:val="center"/>
            </w:pPr>
            <w:r w:rsidRPr="00984A8C">
              <w:rPr>
                <w:rFonts w:ascii="Calibri" w:eastAsia="Calibri" w:hAnsi="Calibri" w:cs="Calibri"/>
              </w:rPr>
              <w:t xml:space="preserve"> Uniformly graded</w:t>
            </w:r>
          </w:p>
        </w:tc>
        <w:tc>
          <w:tcPr>
            <w:tcW w:w="1550" w:type="dxa"/>
            <w:tcMar>
              <w:top w:w="70" w:type="dxa"/>
              <w:left w:w="100" w:type="dxa"/>
              <w:bottom w:w="70" w:type="dxa"/>
              <w:right w:w="100" w:type="dxa"/>
            </w:tcMar>
          </w:tcPr>
          <w:p w:rsidR="00D468B2" w:rsidRPr="00984A8C" w:rsidRDefault="00E237A6">
            <w:pPr>
              <w:jc w:val="center"/>
            </w:pPr>
            <w:r w:rsidRPr="00984A8C">
              <w:rPr>
                <w:rFonts w:ascii="Calibri" w:eastAsia="Calibri" w:hAnsi="Calibri" w:cs="Calibri"/>
              </w:rPr>
              <w:t>3250</w:t>
            </w:r>
          </w:p>
        </w:tc>
        <w:tc>
          <w:tcPr>
            <w:tcW w:w="1550" w:type="dxa"/>
            <w:tcMar>
              <w:top w:w="70" w:type="dxa"/>
              <w:left w:w="100" w:type="dxa"/>
              <w:bottom w:w="70" w:type="dxa"/>
              <w:right w:w="100" w:type="dxa"/>
            </w:tcMar>
          </w:tcPr>
          <w:p w:rsidR="00D468B2" w:rsidRPr="00984A8C" w:rsidRDefault="00E237A6">
            <w:pPr>
              <w:jc w:val="center"/>
            </w:pPr>
            <w:r w:rsidRPr="00984A8C">
              <w:rPr>
                <w:rFonts w:ascii="Calibri" w:eastAsia="Calibri" w:hAnsi="Calibri" w:cs="Calibri"/>
              </w:rPr>
              <w:t>6750</w:t>
            </w:r>
          </w:p>
        </w:tc>
        <w:tc>
          <w:tcPr>
            <w:tcW w:w="1900" w:type="dxa"/>
            <w:tcMar>
              <w:top w:w="70" w:type="dxa"/>
              <w:left w:w="100" w:type="dxa"/>
              <w:bottom w:w="70" w:type="dxa"/>
              <w:right w:w="100" w:type="dxa"/>
            </w:tcMar>
          </w:tcPr>
          <w:p w:rsidR="00D468B2" w:rsidRPr="00984A8C" w:rsidRDefault="00984A8C">
            <w:pPr>
              <w:jc w:val="center"/>
            </w:pPr>
            <w:r w:rsidRPr="00984A8C">
              <w:rPr>
                <w:rFonts w:ascii="Calibri" w:eastAsia="Calibri" w:hAnsi="Calibri" w:cs="Calibri"/>
              </w:rPr>
              <w:t>7550</w:t>
            </w:r>
          </w:p>
        </w:tc>
        <w:tc>
          <w:tcPr>
            <w:tcW w:w="1900" w:type="dxa"/>
            <w:tcMar>
              <w:top w:w="70" w:type="dxa"/>
              <w:left w:w="100" w:type="dxa"/>
              <w:bottom w:w="70" w:type="dxa"/>
              <w:right w:w="100" w:type="dxa"/>
            </w:tcMar>
          </w:tcPr>
          <w:p w:rsidR="00D468B2" w:rsidRPr="00984A8C" w:rsidRDefault="00E237A6">
            <w:pPr>
              <w:jc w:val="center"/>
            </w:pPr>
            <w:r w:rsidRPr="00984A8C">
              <w:rPr>
                <w:rFonts w:ascii="Calibri" w:eastAsia="Calibri" w:hAnsi="Calibri" w:cs="Calibri"/>
              </w:rPr>
              <w:t>3500 / 4300</w:t>
            </w:r>
          </w:p>
        </w:tc>
        <w:tc>
          <w:tcPr>
            <w:tcW w:w="1500" w:type="dxa"/>
            <w:tcMar>
              <w:top w:w="70" w:type="dxa"/>
              <w:left w:w="100" w:type="dxa"/>
              <w:bottom w:w="70" w:type="dxa"/>
              <w:right w:w="100" w:type="dxa"/>
            </w:tcMar>
          </w:tcPr>
          <w:p w:rsidR="00D468B2" w:rsidRPr="00984A8C" w:rsidRDefault="00E237A6">
            <w:pPr>
              <w:jc w:val="center"/>
            </w:pPr>
            <w:r w:rsidRPr="00984A8C">
              <w:rPr>
                <w:rFonts w:ascii="Calibri" w:eastAsia="Calibri" w:hAnsi="Calibri" w:cs="Calibri"/>
                <w:b/>
                <w:bCs/>
              </w:rPr>
              <w:t>0.813</w:t>
            </w:r>
          </w:p>
        </w:tc>
      </w:tr>
    </w:tbl>
    <w:p w:rsidR="00984A8C" w:rsidRDefault="00984A8C">
      <w:pPr>
        <w:spacing w:after="140" w:line="276" w:lineRule="auto"/>
        <w:jc w:val="both"/>
      </w:pPr>
    </w:p>
    <w:p w:rsidR="00D468B2" w:rsidRPr="00984A8C" w:rsidRDefault="00E237A6">
      <w:pPr>
        <w:spacing w:after="140" w:line="276" w:lineRule="auto"/>
        <w:jc w:val="both"/>
        <w:rPr>
          <w:sz w:val="22"/>
          <w:szCs w:val="22"/>
        </w:rPr>
      </w:pPr>
      <w:r w:rsidRPr="00984A8C">
        <w:rPr>
          <w:rFonts w:ascii="Calibri" w:eastAsia="Calibri" w:hAnsi="Calibri" w:cs="Calibri"/>
          <w:sz w:val="22"/>
          <w:szCs w:val="22"/>
        </w:rPr>
        <w:t>Difference in workability between the two samples (CF₁ − CF₂) = 0.986 − 0.813 = 0.173.</w:t>
      </w:r>
    </w:p>
    <w:p w:rsidR="00D468B2" w:rsidRDefault="00E237A6">
      <w:pPr>
        <w:pStyle w:val="Heading1"/>
        <w:spacing w:before="280" w:after="120"/>
      </w:pPr>
      <w:r>
        <w:rPr>
          <w:rFonts w:ascii="Calibri" w:eastAsia="Calibri" w:hAnsi="Calibri" w:cs="Calibri"/>
          <w:b/>
          <w:bCs/>
          <w:color w:val="1F3864"/>
          <w:sz w:val="24"/>
          <w:szCs w:val="24"/>
        </w:rPr>
        <w:lastRenderedPageBreak/>
        <w:t>4. Discussion</w:t>
      </w:r>
    </w:p>
    <w:p w:rsidR="00D468B2" w:rsidRPr="00984A8C" w:rsidRDefault="00E237A6">
      <w:pPr>
        <w:spacing w:after="140" w:line="276" w:lineRule="auto"/>
        <w:jc w:val="both"/>
        <w:rPr>
          <w:sz w:val="22"/>
          <w:szCs w:val="22"/>
        </w:rPr>
      </w:pPr>
      <w:r w:rsidRPr="00984A8C">
        <w:rPr>
          <w:rFonts w:ascii="Calibri" w:eastAsia="Calibri" w:hAnsi="Calibri" w:cs="Calibri"/>
          <w:sz w:val="22"/>
          <w:szCs w:val="22"/>
        </w:rPr>
        <w:t>The results support the expected relationship between aggregate gradation and workability: Sample 1 (well-graded) recorded a substantially higher compacting factor than Sample 2 (uniformly graded), consistent with the theory that smaller particles filling the voids between larger ones reduce internal friction and improve flow.</w:t>
      </w:r>
    </w:p>
    <w:p w:rsidR="00D468B2" w:rsidRPr="00984A8C" w:rsidRDefault="00E237A6">
      <w:pPr>
        <w:spacing w:after="140" w:line="276" w:lineRule="auto"/>
        <w:jc w:val="both"/>
        <w:rPr>
          <w:sz w:val="22"/>
          <w:szCs w:val="22"/>
        </w:rPr>
      </w:pPr>
      <w:r w:rsidRPr="00984A8C">
        <w:rPr>
          <w:rFonts w:ascii="Calibri" w:eastAsia="Calibri" w:hAnsi="Calibri" w:cs="Calibri"/>
          <w:sz w:val="22"/>
          <w:szCs w:val="22"/>
        </w:rPr>
        <w:t>Notably, BS 1881-103 states that the compacting factor test is not considered suitable for concrete with a measured compacting factor below 0.70 or above 0.98. The Sample 1 result of 0.986 falls essentially at this upper boundary, indicating that the mix was at or beyond the edge of the test's valid measurement range rather than simply reflecting experimental error. This is a more precise explanation for the high result than measurement imprecision alone, and is worth highlighting as a methodological observation for future trials using similarly rich, well-graded mixes.</w:t>
      </w:r>
    </w:p>
    <w:p w:rsidR="00D468B2" w:rsidRPr="00984A8C" w:rsidRDefault="00E237A6">
      <w:pPr>
        <w:spacing w:after="140" w:line="276" w:lineRule="auto"/>
        <w:jc w:val="both"/>
        <w:rPr>
          <w:sz w:val="22"/>
          <w:szCs w:val="22"/>
        </w:rPr>
      </w:pPr>
      <w:r w:rsidRPr="00984A8C">
        <w:rPr>
          <w:rFonts w:ascii="Calibri" w:eastAsia="Calibri" w:hAnsi="Calibri" w:cs="Calibri"/>
          <w:sz w:val="22"/>
          <w:szCs w:val="22"/>
        </w:rPr>
        <w:t>It should also be noted th</w:t>
      </w:r>
      <w:r w:rsidR="00984A8C">
        <w:rPr>
          <w:rFonts w:ascii="Calibri" w:eastAsia="Calibri" w:hAnsi="Calibri" w:cs="Calibri"/>
          <w:sz w:val="22"/>
          <w:szCs w:val="22"/>
        </w:rPr>
        <w:t xml:space="preserve">at Sample 2 was not a gradation </w:t>
      </w:r>
      <w:r w:rsidRPr="00984A8C">
        <w:rPr>
          <w:rFonts w:ascii="Calibri" w:eastAsia="Calibri" w:hAnsi="Calibri" w:cs="Calibri"/>
          <w:sz w:val="22"/>
          <w:szCs w:val="22"/>
        </w:rPr>
        <w:t>only variant of Sample 1: it used a different mix ratio (1:4 rather than 1:2:4, with no fine aggregate) and a lower water-cement ratio (0.3 rather than 0.5). Both of these differences independently reduce workability, in addition to the effect of gradation itself. As a result, the measured 0.173 difference in compacting factor should be interpreted as the combined effect of gradation, paste content, and water-cement ratio, rather than the isolated effect of aggregate gradation.</w:t>
      </w:r>
    </w:p>
    <w:p w:rsidR="00D468B2" w:rsidRDefault="00E237A6">
      <w:pPr>
        <w:pStyle w:val="Heading1"/>
        <w:spacing w:before="280" w:after="120"/>
      </w:pPr>
      <w:r>
        <w:rPr>
          <w:rFonts w:ascii="Calibri" w:eastAsia="Calibri" w:hAnsi="Calibri" w:cs="Calibri"/>
          <w:b/>
          <w:bCs/>
          <w:color w:val="1F3864"/>
          <w:sz w:val="24"/>
          <w:szCs w:val="24"/>
        </w:rPr>
        <w:t>5. Limitations</w:t>
      </w:r>
    </w:p>
    <w:p w:rsidR="00D468B2" w:rsidRPr="00984A8C" w:rsidRDefault="00E237A6">
      <w:pPr>
        <w:pStyle w:val="ListParagraph"/>
        <w:numPr>
          <w:ilvl w:val="0"/>
          <w:numId w:val="2"/>
        </w:numPr>
        <w:spacing w:after="70"/>
        <w:rPr>
          <w:sz w:val="22"/>
          <w:szCs w:val="22"/>
        </w:rPr>
      </w:pPr>
      <w:r w:rsidRPr="00984A8C">
        <w:rPr>
          <w:rFonts w:ascii="Calibri" w:eastAsia="Calibri" w:hAnsi="Calibri" w:cs="Calibri"/>
          <w:sz w:val="22"/>
          <w:szCs w:val="22"/>
        </w:rPr>
        <w:t>Each sample was tested once; no replicate trials were performed, so the repeatability of the results is not established.</w:t>
      </w:r>
    </w:p>
    <w:p w:rsidR="00D468B2" w:rsidRPr="00984A8C" w:rsidRDefault="00E237A6">
      <w:pPr>
        <w:pStyle w:val="ListParagraph"/>
        <w:numPr>
          <w:ilvl w:val="0"/>
          <w:numId w:val="2"/>
        </w:numPr>
        <w:spacing w:after="70"/>
        <w:rPr>
          <w:sz w:val="22"/>
          <w:szCs w:val="22"/>
        </w:rPr>
      </w:pPr>
      <w:r w:rsidRPr="00984A8C">
        <w:rPr>
          <w:rFonts w:ascii="Calibri" w:eastAsia="Calibri" w:hAnsi="Calibri" w:cs="Calibri"/>
          <w:sz w:val="22"/>
          <w:szCs w:val="22"/>
        </w:rPr>
        <w:t>Water-cement ratio and mix proportion were varied simultaneously with aggregate gradation between the two samples, confounding the comparison.</w:t>
      </w:r>
    </w:p>
    <w:p w:rsidR="00D468B2" w:rsidRPr="00984A8C" w:rsidRDefault="00E237A6">
      <w:pPr>
        <w:pStyle w:val="ListParagraph"/>
        <w:numPr>
          <w:ilvl w:val="0"/>
          <w:numId w:val="2"/>
        </w:numPr>
        <w:spacing w:after="70"/>
        <w:rPr>
          <w:sz w:val="22"/>
          <w:szCs w:val="22"/>
        </w:rPr>
      </w:pPr>
      <w:r w:rsidRPr="00984A8C">
        <w:rPr>
          <w:rFonts w:ascii="Calibri" w:eastAsia="Calibri" w:hAnsi="Calibri" w:cs="Calibri"/>
          <w:sz w:val="22"/>
          <w:szCs w:val="22"/>
        </w:rPr>
        <w:t>No complementary workability test (e.g. slump test) was performed to cross-validate the compacting factor results.</w:t>
      </w:r>
    </w:p>
    <w:p w:rsidR="00D468B2" w:rsidRPr="00984A8C" w:rsidRDefault="00E237A6">
      <w:pPr>
        <w:pStyle w:val="ListParagraph"/>
        <w:numPr>
          <w:ilvl w:val="0"/>
          <w:numId w:val="2"/>
        </w:numPr>
        <w:spacing w:after="70"/>
        <w:rPr>
          <w:sz w:val="22"/>
          <w:szCs w:val="22"/>
        </w:rPr>
      </w:pPr>
      <w:r w:rsidRPr="00984A8C">
        <w:rPr>
          <w:rFonts w:ascii="Calibri" w:eastAsia="Calibri" w:hAnsi="Calibri" w:cs="Calibri"/>
          <w:sz w:val="22"/>
          <w:szCs w:val="22"/>
        </w:rPr>
        <w:t>Testing was conducted at small laboratory scale under controlled conditions and may not directly represent field batching and placement conditions.</w:t>
      </w:r>
    </w:p>
    <w:p w:rsidR="00D468B2" w:rsidRDefault="00E237A6">
      <w:pPr>
        <w:pStyle w:val="Heading1"/>
        <w:spacing w:before="280" w:after="120"/>
      </w:pPr>
      <w:r>
        <w:rPr>
          <w:rFonts w:ascii="Calibri" w:eastAsia="Calibri" w:hAnsi="Calibri" w:cs="Calibri"/>
          <w:b/>
          <w:bCs/>
          <w:color w:val="1F3864"/>
          <w:sz w:val="24"/>
          <w:szCs w:val="24"/>
        </w:rPr>
        <w:t>6. Conclusion</w:t>
      </w:r>
    </w:p>
    <w:p w:rsidR="00D468B2" w:rsidRPr="00984A8C" w:rsidRDefault="00E237A6">
      <w:pPr>
        <w:spacing w:after="140" w:line="276" w:lineRule="auto"/>
        <w:jc w:val="both"/>
        <w:rPr>
          <w:sz w:val="22"/>
          <w:szCs w:val="22"/>
        </w:rPr>
      </w:pPr>
      <w:r w:rsidRPr="00984A8C">
        <w:rPr>
          <w:rFonts w:ascii="Calibri" w:eastAsia="Calibri" w:hAnsi="Calibri" w:cs="Calibri"/>
          <w:sz w:val="22"/>
          <w:szCs w:val="22"/>
        </w:rPr>
        <w:t>Within the scope of this study, well-graded aggregate produced a markedly higher compacting factor (0.986) than uniformly graded aggregate (0.813), a difference of 0.173, confirming that aggregate gradation has a substantial effect on the workability of fresh concrete. The high compacting factor for the well-graded sample coincided with the upper edge of the standard's valid measurement range, which better explains the anomaly noted during testing than measurement error alone. Because water-cement ratio and mix proportion were also v</w:t>
      </w:r>
      <w:r w:rsidR="00984A8C" w:rsidRPr="00984A8C">
        <w:rPr>
          <w:rFonts w:ascii="Calibri" w:eastAsia="Calibri" w:hAnsi="Calibri" w:cs="Calibri"/>
          <w:sz w:val="22"/>
          <w:szCs w:val="22"/>
        </w:rPr>
        <w:t xml:space="preserve">aried between samples, a follow </w:t>
      </w:r>
      <w:r w:rsidRPr="00984A8C">
        <w:rPr>
          <w:rFonts w:ascii="Calibri" w:eastAsia="Calibri" w:hAnsi="Calibri" w:cs="Calibri"/>
          <w:sz w:val="22"/>
          <w:szCs w:val="22"/>
        </w:rPr>
        <w:t>up study holding these parameters constant while varying only aggregate gradation is recommended to isolate its effect more precisely.</w:t>
      </w:r>
    </w:p>
    <w:p w:rsidR="00D468B2" w:rsidRDefault="00E237A6">
      <w:pPr>
        <w:pStyle w:val="Heading1"/>
        <w:spacing w:before="280" w:after="120"/>
      </w:pPr>
      <w:r>
        <w:rPr>
          <w:rFonts w:ascii="Calibri" w:eastAsia="Calibri" w:hAnsi="Calibri" w:cs="Calibri"/>
          <w:b/>
          <w:bCs/>
          <w:color w:val="1F3864"/>
          <w:sz w:val="24"/>
          <w:szCs w:val="24"/>
        </w:rPr>
        <w:t>References</w:t>
      </w:r>
    </w:p>
    <w:p w:rsidR="00D468B2" w:rsidRPr="00984A8C" w:rsidRDefault="00E237A6">
      <w:pPr>
        <w:spacing w:after="140" w:line="276" w:lineRule="auto"/>
        <w:jc w:val="both"/>
        <w:rPr>
          <w:sz w:val="22"/>
          <w:szCs w:val="22"/>
        </w:rPr>
      </w:pPr>
      <w:r w:rsidRPr="00984A8C">
        <w:rPr>
          <w:rFonts w:ascii="Calibri" w:eastAsia="Calibri" w:hAnsi="Calibri" w:cs="Calibri"/>
          <w:sz w:val="22"/>
          <w:szCs w:val="22"/>
        </w:rPr>
        <w:t>British Standards Institut</w:t>
      </w:r>
      <w:r w:rsidR="00984A8C" w:rsidRPr="00984A8C">
        <w:rPr>
          <w:rFonts w:ascii="Calibri" w:eastAsia="Calibri" w:hAnsi="Calibri" w:cs="Calibri"/>
          <w:sz w:val="22"/>
          <w:szCs w:val="22"/>
        </w:rPr>
        <w:t xml:space="preserve">ion. (1993). BS 1881-103:1993, </w:t>
      </w:r>
      <w:r w:rsidRPr="00984A8C">
        <w:rPr>
          <w:rFonts w:ascii="Calibri" w:eastAsia="Calibri" w:hAnsi="Calibri" w:cs="Calibri"/>
          <w:sz w:val="22"/>
          <w:szCs w:val="22"/>
        </w:rPr>
        <w:t>Testing concrete, Part 103: Method for determination of compacting factor. BSI.</w:t>
      </w:r>
    </w:p>
    <w:p w:rsidR="00D468B2" w:rsidRPr="00984A8C" w:rsidRDefault="00E237A6">
      <w:pPr>
        <w:spacing w:after="140" w:line="276" w:lineRule="auto"/>
        <w:jc w:val="both"/>
        <w:rPr>
          <w:sz w:val="22"/>
          <w:szCs w:val="22"/>
        </w:rPr>
      </w:pPr>
      <w:r w:rsidRPr="00984A8C">
        <w:rPr>
          <w:rFonts w:ascii="Calibri" w:eastAsia="Calibri" w:hAnsi="Calibri" w:cs="Calibri"/>
          <w:sz w:val="22"/>
          <w:szCs w:val="22"/>
        </w:rPr>
        <w:t>Neville, A. M. (2011). Properties of Concrete (5th ed.). Pearson Education.</w:t>
      </w:r>
    </w:p>
    <w:sectPr w:rsidR="00D468B2" w:rsidRPr="00984A8C">
      <w:pgSz w:w="12240" w:h="15840"/>
      <w:pgMar w:top="1000" w:right="1100" w:bottom="10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A32D9"/>
    <w:multiLevelType w:val="hybridMultilevel"/>
    <w:tmpl w:val="E8AEF608"/>
    <w:lvl w:ilvl="0" w:tplc="3A624CF6">
      <w:start w:val="1"/>
      <w:numFmt w:val="bullet"/>
      <w:lvlText w:val="•"/>
      <w:lvlJc w:val="left"/>
      <w:pPr>
        <w:ind w:left="360" w:hanging="260"/>
      </w:pPr>
    </w:lvl>
    <w:lvl w:ilvl="1" w:tplc="E4E264D0">
      <w:numFmt w:val="decimal"/>
      <w:lvlText w:val=""/>
      <w:lvlJc w:val="left"/>
    </w:lvl>
    <w:lvl w:ilvl="2" w:tplc="F364E0EE">
      <w:numFmt w:val="decimal"/>
      <w:lvlText w:val=""/>
      <w:lvlJc w:val="left"/>
    </w:lvl>
    <w:lvl w:ilvl="3" w:tplc="AF747884">
      <w:numFmt w:val="decimal"/>
      <w:lvlText w:val=""/>
      <w:lvlJc w:val="left"/>
    </w:lvl>
    <w:lvl w:ilvl="4" w:tplc="EA3A548C">
      <w:numFmt w:val="decimal"/>
      <w:lvlText w:val=""/>
      <w:lvlJc w:val="left"/>
    </w:lvl>
    <w:lvl w:ilvl="5" w:tplc="D7649AD4">
      <w:numFmt w:val="decimal"/>
      <w:lvlText w:val=""/>
      <w:lvlJc w:val="left"/>
    </w:lvl>
    <w:lvl w:ilvl="6" w:tplc="4622E6A0">
      <w:numFmt w:val="decimal"/>
      <w:lvlText w:val=""/>
      <w:lvlJc w:val="left"/>
    </w:lvl>
    <w:lvl w:ilvl="7" w:tplc="1840C1F4">
      <w:numFmt w:val="decimal"/>
      <w:lvlText w:val=""/>
      <w:lvlJc w:val="left"/>
    </w:lvl>
    <w:lvl w:ilvl="8" w:tplc="25660A42">
      <w:numFmt w:val="decimal"/>
      <w:lvlText w:val=""/>
      <w:lvlJc w:val="left"/>
    </w:lvl>
  </w:abstractNum>
  <w:abstractNum w:abstractNumId="1" w15:restartNumberingAfterBreak="0">
    <w:nsid w:val="31A37CD4"/>
    <w:multiLevelType w:val="hybridMultilevel"/>
    <w:tmpl w:val="5CE0897C"/>
    <w:lvl w:ilvl="0" w:tplc="CCE40440">
      <w:start w:val="1"/>
      <w:numFmt w:val="bullet"/>
      <w:lvlText w:val="●"/>
      <w:lvlJc w:val="left"/>
      <w:pPr>
        <w:ind w:left="720" w:hanging="360"/>
      </w:pPr>
    </w:lvl>
    <w:lvl w:ilvl="1" w:tplc="6DDAE574">
      <w:start w:val="1"/>
      <w:numFmt w:val="bullet"/>
      <w:lvlText w:val="○"/>
      <w:lvlJc w:val="left"/>
      <w:pPr>
        <w:ind w:left="1440" w:hanging="360"/>
      </w:pPr>
    </w:lvl>
    <w:lvl w:ilvl="2" w:tplc="2D961874">
      <w:start w:val="1"/>
      <w:numFmt w:val="bullet"/>
      <w:lvlText w:val="■"/>
      <w:lvlJc w:val="left"/>
      <w:pPr>
        <w:ind w:left="2160" w:hanging="360"/>
      </w:pPr>
    </w:lvl>
    <w:lvl w:ilvl="3" w:tplc="6AB61EC4">
      <w:start w:val="1"/>
      <w:numFmt w:val="bullet"/>
      <w:lvlText w:val="●"/>
      <w:lvlJc w:val="left"/>
      <w:pPr>
        <w:ind w:left="2880" w:hanging="360"/>
      </w:pPr>
    </w:lvl>
    <w:lvl w:ilvl="4" w:tplc="CE6C9AF6">
      <w:start w:val="1"/>
      <w:numFmt w:val="bullet"/>
      <w:lvlText w:val="○"/>
      <w:lvlJc w:val="left"/>
      <w:pPr>
        <w:ind w:left="3600" w:hanging="360"/>
      </w:pPr>
    </w:lvl>
    <w:lvl w:ilvl="5" w:tplc="6340167A">
      <w:start w:val="1"/>
      <w:numFmt w:val="bullet"/>
      <w:lvlText w:val="■"/>
      <w:lvlJc w:val="left"/>
      <w:pPr>
        <w:ind w:left="4320" w:hanging="360"/>
      </w:pPr>
    </w:lvl>
    <w:lvl w:ilvl="6" w:tplc="92DECD40">
      <w:start w:val="1"/>
      <w:numFmt w:val="bullet"/>
      <w:lvlText w:val="●"/>
      <w:lvlJc w:val="left"/>
      <w:pPr>
        <w:ind w:left="5040" w:hanging="360"/>
      </w:pPr>
    </w:lvl>
    <w:lvl w:ilvl="7" w:tplc="ABCA019E">
      <w:start w:val="1"/>
      <w:numFmt w:val="bullet"/>
      <w:lvlText w:val="●"/>
      <w:lvlJc w:val="left"/>
      <w:pPr>
        <w:ind w:left="5760" w:hanging="360"/>
      </w:pPr>
    </w:lvl>
    <w:lvl w:ilvl="8" w:tplc="814A8D08">
      <w:start w:val="1"/>
      <w:numFmt w:val="bullet"/>
      <w:lvlText w:val="●"/>
      <w:lvlJc w:val="left"/>
      <w:pPr>
        <w:ind w:left="6480" w:hanging="360"/>
      </w:pPr>
    </w:lvl>
  </w:abstractNum>
  <w:abstractNum w:abstractNumId="2" w15:restartNumberingAfterBreak="0">
    <w:nsid w:val="44E552FD"/>
    <w:multiLevelType w:val="hybridMultilevel"/>
    <w:tmpl w:val="A5ECB93C"/>
    <w:lvl w:ilvl="0" w:tplc="FA8A0A2C">
      <w:start w:val="1"/>
      <w:numFmt w:val="decimalZero"/>
      <w:lvlText w:val="%1."/>
      <w:lvlJc w:val="left"/>
      <w:pPr>
        <w:ind w:left="720" w:hanging="360"/>
      </w:pPr>
      <w:rPr>
        <w:rFonts w:ascii="Calibri" w:eastAsia="Calibri" w:hAnsi="Calibri" w:cs="Calibri" w:hint="default"/>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410299"/>
    <w:multiLevelType w:val="hybridMultilevel"/>
    <w:tmpl w:val="97DEB126"/>
    <w:lvl w:ilvl="0" w:tplc="751C29A8">
      <w:start w:val="1"/>
      <w:numFmt w:val="decimal"/>
      <w:lvlText w:val="%1."/>
      <w:lvlJc w:val="left"/>
      <w:pPr>
        <w:ind w:left="400" w:hanging="300"/>
      </w:pPr>
    </w:lvl>
    <w:lvl w:ilvl="1" w:tplc="56521D1C">
      <w:numFmt w:val="decimal"/>
      <w:lvlText w:val=""/>
      <w:lvlJc w:val="left"/>
    </w:lvl>
    <w:lvl w:ilvl="2" w:tplc="42D8D920">
      <w:numFmt w:val="decimal"/>
      <w:lvlText w:val=""/>
      <w:lvlJc w:val="left"/>
    </w:lvl>
    <w:lvl w:ilvl="3" w:tplc="4F0E572A">
      <w:numFmt w:val="decimal"/>
      <w:lvlText w:val=""/>
      <w:lvlJc w:val="left"/>
    </w:lvl>
    <w:lvl w:ilvl="4" w:tplc="3CB45A2C">
      <w:numFmt w:val="decimal"/>
      <w:lvlText w:val=""/>
      <w:lvlJc w:val="left"/>
    </w:lvl>
    <w:lvl w:ilvl="5" w:tplc="A5787D92">
      <w:numFmt w:val="decimal"/>
      <w:lvlText w:val=""/>
      <w:lvlJc w:val="left"/>
    </w:lvl>
    <w:lvl w:ilvl="6" w:tplc="D124FC42">
      <w:numFmt w:val="decimal"/>
      <w:lvlText w:val=""/>
      <w:lvlJc w:val="left"/>
    </w:lvl>
    <w:lvl w:ilvl="7" w:tplc="F356C308">
      <w:numFmt w:val="decimal"/>
      <w:lvlText w:val=""/>
      <w:lvlJc w:val="left"/>
    </w:lvl>
    <w:lvl w:ilvl="8" w:tplc="850E02EC">
      <w:numFmt w:val="decimal"/>
      <w:lvlText w:val=""/>
      <w:lvlJc w:val="left"/>
    </w:lvl>
  </w:abstractNum>
  <w:num w:numId="1">
    <w:abstractNumId w:val="1"/>
    <w:lvlOverride w:ilvl="0">
      <w:startOverride w:val="1"/>
    </w:lvlOverride>
  </w:num>
  <w:num w:numId="2">
    <w:abstractNumId w:val="0"/>
    <w:lvlOverride w:ilvl="0">
      <w:startOverride w:val="1"/>
    </w:lvlOverride>
  </w:num>
  <w:num w:numId="3">
    <w:abstractNumId w:val="3"/>
    <w:lvlOverride w:ilvl="0">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8B2"/>
    <w:rsid w:val="00726F86"/>
    <w:rsid w:val="00984A8C"/>
    <w:rsid w:val="009F59E0"/>
    <w:rsid w:val="00D468B2"/>
    <w:rsid w:val="00E237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624E1"/>
  <w15:docId w15:val="{227C89ED-B78D-4CF4-A5A4-E4E32698F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uhammadausaif1630@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1197</Words>
  <Characters>6826</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A.K COM</cp:lastModifiedBy>
  <cp:revision>5</cp:revision>
  <dcterms:created xsi:type="dcterms:W3CDTF">2026-07-31T12:58:00Z</dcterms:created>
  <dcterms:modified xsi:type="dcterms:W3CDTF">2026-07-31T13:31:00Z</dcterms:modified>
</cp:coreProperties>
</file>