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07D34" w14:textId="71A67169" w:rsidR="00623AB2" w:rsidRDefault="001532D2" w:rsidP="000D4A0A">
      <w:pPr>
        <w:spacing w:line="240" w:lineRule="auto"/>
        <w:jc w:val="center"/>
      </w:pPr>
      <w:r>
        <w:t>Climate-Resilient Roadways</w:t>
      </w:r>
      <w:r w:rsidR="00623AB2" w:rsidRPr="00623AB2">
        <w:t>: Adapt</w:t>
      </w:r>
      <w:r>
        <w:t>ive</w:t>
      </w:r>
      <w:r w:rsidR="00623AB2" w:rsidRPr="00623AB2">
        <w:t xml:space="preserve"> Strategies for Extreme </w:t>
      </w:r>
      <w:r>
        <w:t>Weather Events</w:t>
      </w:r>
    </w:p>
    <w:p w14:paraId="23F04C5D" w14:textId="2A4FD5E5" w:rsidR="001532D2" w:rsidRDefault="00FA5E2B" w:rsidP="000D4A0A">
      <w:pPr>
        <w:spacing w:line="240" w:lineRule="auto"/>
        <w:jc w:val="center"/>
      </w:pPr>
      <w:r>
        <w:t>by</w:t>
      </w:r>
    </w:p>
    <w:p w14:paraId="597FBB3F" w14:textId="3AA1195F" w:rsidR="00004112" w:rsidRDefault="00004112" w:rsidP="000D4A0A">
      <w:pPr>
        <w:spacing w:line="240" w:lineRule="auto"/>
        <w:jc w:val="center"/>
      </w:pPr>
      <w:r>
        <w:t>Mohammad Ali Notani</w:t>
      </w:r>
    </w:p>
    <w:p w14:paraId="515713F9" w14:textId="04D4114F" w:rsidR="00004112" w:rsidRPr="00FA5E2B" w:rsidRDefault="00004112" w:rsidP="000D4A0A">
      <w:pPr>
        <w:spacing w:line="240" w:lineRule="auto"/>
      </w:pPr>
      <w:r w:rsidRPr="00FA5E2B">
        <w:t>Research Associate at Lyles School of Civil Engineering, Purdue University, West Lafayette, IN.</w:t>
      </w:r>
      <w:r w:rsidR="00A5334B" w:rsidRPr="00FA5E2B">
        <w:t xml:space="preserve"> </w:t>
      </w:r>
      <w:r w:rsidR="00A5334B" w:rsidRPr="00FA5E2B">
        <w:br/>
      </w:r>
      <w:r w:rsidR="00A5334B" w:rsidRPr="00FA5E2B">
        <w:rPr>
          <w:sz w:val="20"/>
          <w:szCs w:val="18"/>
        </w:rPr>
        <w:t xml:space="preserve">Email: </w:t>
      </w:r>
      <w:r w:rsidR="00A5334B" w:rsidRPr="00FA5E2B">
        <w:rPr>
          <w:color w:val="4472C4" w:themeColor="accent1"/>
          <w:sz w:val="20"/>
          <w:szCs w:val="18"/>
        </w:rPr>
        <w:t>mnotani@purdue.edu</w:t>
      </w:r>
    </w:p>
    <w:p w14:paraId="7D144041" w14:textId="48CA86A1" w:rsidR="006D6955" w:rsidRPr="007A6B36" w:rsidRDefault="00691A1E" w:rsidP="000D4A0A">
      <w:pPr>
        <w:pStyle w:val="Heading1"/>
        <w:spacing w:line="240" w:lineRule="auto"/>
      </w:pPr>
      <w:r w:rsidRPr="007A6B36">
        <w:t>Abstract</w:t>
      </w:r>
    </w:p>
    <w:p w14:paraId="64C4F5D0" w14:textId="25EC82D8" w:rsidR="00956FF0" w:rsidRDefault="00A804EB" w:rsidP="000D4A0A">
      <w:pPr>
        <w:spacing w:line="240" w:lineRule="auto"/>
        <w:rPr>
          <w:lang w:bidi="fa-IR"/>
        </w:rPr>
      </w:pPr>
      <w:r>
        <w:rPr>
          <w:lang w:bidi="fa-IR"/>
        </w:rPr>
        <w:t>Extreme climate events, including hurricanes, flooding, heatwaves, and wildfires</w:t>
      </w:r>
      <w:r w:rsidR="00865B91">
        <w:rPr>
          <w:lang w:bidi="fa-IR"/>
        </w:rPr>
        <w:t>,</w:t>
      </w:r>
      <w:r>
        <w:rPr>
          <w:lang w:bidi="fa-IR"/>
        </w:rPr>
        <w:t xml:space="preserve"> increasingly challenge the resilience and functionality of transportation infrastructure</w:t>
      </w:r>
      <w:r w:rsidR="00956FF0" w:rsidRPr="00956FF0">
        <w:rPr>
          <w:lang w:bidi="fa-IR"/>
        </w:rPr>
        <w:t xml:space="preserve">. </w:t>
      </w:r>
      <w:r w:rsidR="001532D2" w:rsidRPr="001532D2">
        <w:rPr>
          <w:lang w:bidi="fa-IR"/>
        </w:rPr>
        <w:t xml:space="preserve">This perspective synthesizes multi-hazard vulnerabilities and forward-looking adaptation strategies. Using </w:t>
      </w:r>
      <w:r w:rsidR="001532D2" w:rsidRPr="000D4A0A">
        <w:rPr>
          <w:i/>
          <w:iCs/>
          <w:lang w:bidi="fa-IR"/>
        </w:rPr>
        <w:t>Hurricane Helene</w:t>
      </w:r>
      <w:r w:rsidR="001532D2" w:rsidRPr="001532D2">
        <w:rPr>
          <w:lang w:bidi="fa-IR"/>
        </w:rPr>
        <w:t xml:space="preserve"> (2024) as a case study, </w:t>
      </w:r>
      <w:r w:rsidR="000D4A0A">
        <w:rPr>
          <w:lang w:bidi="fa-IR"/>
        </w:rPr>
        <w:t xml:space="preserve">screening-level </w:t>
      </w:r>
      <w:r w:rsidR="001532D2" w:rsidRPr="001532D2">
        <w:rPr>
          <w:lang w:bidi="fa-IR"/>
        </w:rPr>
        <w:t xml:space="preserve">hydrological simulations show that lime-treated base layers can reduce flood-induced erosion </w:t>
      </w:r>
      <w:r w:rsidR="000D4A0A">
        <w:rPr>
          <w:lang w:bidi="fa-IR"/>
        </w:rPr>
        <w:t>significantly</w:t>
      </w:r>
      <w:r w:rsidR="001532D2" w:rsidRPr="001532D2">
        <w:rPr>
          <w:lang w:bidi="fa-IR"/>
        </w:rPr>
        <w:t>. For heat</w:t>
      </w:r>
      <w:r w:rsidR="000D4A0A">
        <w:rPr>
          <w:lang w:bidi="fa-IR"/>
        </w:rPr>
        <w:t>waves</w:t>
      </w:r>
      <w:r w:rsidR="001532D2" w:rsidRPr="001532D2">
        <w:rPr>
          <w:lang w:bidi="fa-IR"/>
        </w:rPr>
        <w:t xml:space="preserve">, phase change material (PCM)-modified asphalt stabilizes pavement temperatures through latent heat absorption, mitigating rutting and oxidative aging. </w:t>
      </w:r>
      <w:r w:rsidR="000D4A0A" w:rsidRPr="000D4A0A">
        <w:rPr>
          <w:lang w:bidi="fa-IR"/>
        </w:rPr>
        <w:t>Wildfire modeling further indicates that vegetation-free roadside buffer zones of approximately 20 m can substantially reduce modeled thermal exposure above the roadway, helping preserve the functionality of evacuation routes. These findings underscore the importance of integrating advanced materials, predictive climate modeling, and multi-hazard design frameworks into transportation planning to support long-term infrastructure resilience and community safety</w:t>
      </w:r>
      <w:r w:rsidR="00956FF0" w:rsidRPr="00956FF0">
        <w:rPr>
          <w:lang w:bidi="fa-IR"/>
        </w:rPr>
        <w:t>.</w:t>
      </w:r>
    </w:p>
    <w:p w14:paraId="6DFDD2E3" w14:textId="690EE1F5" w:rsidR="00691A1E" w:rsidRPr="007A6B36" w:rsidRDefault="00691A1E" w:rsidP="000D4A0A">
      <w:pPr>
        <w:spacing w:line="240" w:lineRule="auto"/>
        <w:rPr>
          <w:rFonts w:cstheme="majorBidi"/>
          <w:szCs w:val="24"/>
        </w:rPr>
      </w:pPr>
      <w:r w:rsidRPr="001262C6">
        <w:rPr>
          <w:rFonts w:cstheme="majorBidi"/>
          <w:b/>
          <w:bCs/>
          <w:i/>
          <w:iCs/>
          <w:szCs w:val="24"/>
        </w:rPr>
        <w:t>Keywords:</w:t>
      </w:r>
      <w:r w:rsidRPr="007A6B36">
        <w:rPr>
          <w:rFonts w:cstheme="majorBidi"/>
          <w:b/>
          <w:bCs/>
          <w:szCs w:val="24"/>
        </w:rPr>
        <w:t xml:space="preserve"> </w:t>
      </w:r>
      <w:r w:rsidR="001262C6" w:rsidRPr="001262C6">
        <w:t>Road</w:t>
      </w:r>
      <w:r w:rsidR="001262C6">
        <w:rPr>
          <w:rFonts w:cstheme="majorBidi"/>
          <w:b/>
          <w:bCs/>
          <w:szCs w:val="24"/>
        </w:rPr>
        <w:t xml:space="preserve"> </w:t>
      </w:r>
      <w:r w:rsidRPr="007A6B36">
        <w:rPr>
          <w:rFonts w:cstheme="majorBidi"/>
          <w:szCs w:val="24"/>
        </w:rPr>
        <w:t xml:space="preserve">Resiliency, Climate Change, </w:t>
      </w:r>
      <w:r w:rsidR="001262C6">
        <w:rPr>
          <w:rFonts w:cstheme="majorBidi"/>
          <w:szCs w:val="24"/>
        </w:rPr>
        <w:t xml:space="preserve">Pavement Durability, Flooding, Heatwaves. </w:t>
      </w:r>
    </w:p>
    <w:p w14:paraId="2C758637" w14:textId="2327A325" w:rsidR="00691A1E" w:rsidRPr="007A6B36" w:rsidRDefault="00691A1E" w:rsidP="000D4A0A">
      <w:pPr>
        <w:pStyle w:val="Heading1"/>
        <w:spacing w:line="240" w:lineRule="auto"/>
      </w:pPr>
      <w:r w:rsidRPr="007A6B36">
        <w:t>Introduction</w:t>
      </w:r>
    </w:p>
    <w:p w14:paraId="1F68D961" w14:textId="77777777" w:rsidR="00E713C2" w:rsidRDefault="00691A1E" w:rsidP="000D4A0A">
      <w:pPr>
        <w:spacing w:line="240" w:lineRule="auto"/>
        <w:rPr>
          <w:rFonts w:cstheme="majorBidi"/>
          <w:szCs w:val="24"/>
        </w:rPr>
      </w:pPr>
      <w:r w:rsidRPr="007A6B36">
        <w:rPr>
          <w:rFonts w:cstheme="majorBidi"/>
          <w:szCs w:val="24"/>
        </w:rPr>
        <w:t xml:space="preserve">The </w:t>
      </w:r>
      <w:r w:rsidR="00E713C2">
        <w:rPr>
          <w:rFonts w:cstheme="majorBidi"/>
          <w:szCs w:val="24"/>
        </w:rPr>
        <w:t>effects</w:t>
      </w:r>
      <w:r w:rsidR="001F7740">
        <w:rPr>
          <w:rFonts w:cstheme="majorBidi"/>
          <w:szCs w:val="24"/>
        </w:rPr>
        <w:t xml:space="preserve"> of</w:t>
      </w:r>
      <w:r w:rsidRPr="007A6B36">
        <w:rPr>
          <w:rFonts w:cstheme="majorBidi"/>
          <w:szCs w:val="24"/>
        </w:rPr>
        <w:t xml:space="preserve"> climate change</w:t>
      </w:r>
      <w:r w:rsidR="00BD3A8B">
        <w:rPr>
          <w:rFonts w:cstheme="majorBidi"/>
          <w:szCs w:val="24"/>
        </w:rPr>
        <w:t xml:space="preserve">, </w:t>
      </w:r>
      <w:r w:rsidRPr="007A6B36">
        <w:rPr>
          <w:rFonts w:cstheme="majorBidi"/>
          <w:szCs w:val="24"/>
        </w:rPr>
        <w:t xml:space="preserve">including </w:t>
      </w:r>
      <w:r w:rsidR="001F7740">
        <w:rPr>
          <w:rFonts w:cstheme="majorBidi"/>
          <w:szCs w:val="24"/>
        </w:rPr>
        <w:t>stronger</w:t>
      </w:r>
      <w:r w:rsidRPr="007A6B36">
        <w:rPr>
          <w:rFonts w:cstheme="majorBidi"/>
          <w:szCs w:val="24"/>
        </w:rPr>
        <w:t xml:space="preserve"> hurricanes, </w:t>
      </w:r>
      <w:r w:rsidR="001F7740">
        <w:rPr>
          <w:rFonts w:cstheme="majorBidi"/>
          <w:szCs w:val="24"/>
        </w:rPr>
        <w:t xml:space="preserve">frequent </w:t>
      </w:r>
      <w:r w:rsidRPr="007A6B36">
        <w:rPr>
          <w:rFonts w:cstheme="majorBidi"/>
          <w:szCs w:val="24"/>
        </w:rPr>
        <w:t xml:space="preserve">flooding, </w:t>
      </w:r>
      <w:r w:rsidR="001F7740">
        <w:rPr>
          <w:rFonts w:cstheme="majorBidi"/>
          <w:szCs w:val="24"/>
        </w:rPr>
        <w:t xml:space="preserve">prolonged </w:t>
      </w:r>
      <w:r w:rsidR="00D305C1" w:rsidRPr="007A6B36">
        <w:rPr>
          <w:rFonts w:cstheme="majorBidi"/>
          <w:szCs w:val="24"/>
        </w:rPr>
        <w:t>heatwaves</w:t>
      </w:r>
      <w:r w:rsidRPr="007A6B36">
        <w:rPr>
          <w:rFonts w:cstheme="majorBidi"/>
          <w:szCs w:val="24"/>
        </w:rPr>
        <w:t xml:space="preserve">, rising sea levels, and </w:t>
      </w:r>
      <w:r w:rsidR="00365154">
        <w:rPr>
          <w:rFonts w:cstheme="majorBidi"/>
          <w:szCs w:val="24"/>
        </w:rPr>
        <w:t>severe</w:t>
      </w:r>
      <w:r w:rsidR="005712CA">
        <w:rPr>
          <w:rFonts w:cstheme="majorBidi"/>
          <w:szCs w:val="24"/>
        </w:rPr>
        <w:t xml:space="preserve"> </w:t>
      </w:r>
      <w:r w:rsidR="00E70079">
        <w:rPr>
          <w:rFonts w:cstheme="majorBidi"/>
          <w:szCs w:val="24"/>
        </w:rPr>
        <w:t>temperature</w:t>
      </w:r>
      <w:r w:rsidR="00365154">
        <w:rPr>
          <w:rFonts w:cstheme="majorBidi"/>
          <w:szCs w:val="24"/>
        </w:rPr>
        <w:t xml:space="preserve"> </w:t>
      </w:r>
      <w:r w:rsidRPr="007A6B36">
        <w:rPr>
          <w:rFonts w:cstheme="majorBidi"/>
          <w:szCs w:val="24"/>
        </w:rPr>
        <w:t>variations</w:t>
      </w:r>
      <w:r w:rsidR="00227A97">
        <w:rPr>
          <w:rFonts w:cstheme="majorBidi"/>
          <w:szCs w:val="24"/>
        </w:rPr>
        <w:t>,</w:t>
      </w:r>
      <w:r w:rsidR="007C20DD">
        <w:rPr>
          <w:rFonts w:cstheme="majorBidi"/>
          <w:szCs w:val="24"/>
        </w:rPr>
        <w:t xml:space="preserve"> </w:t>
      </w:r>
      <w:r w:rsidRPr="007A6B36">
        <w:rPr>
          <w:rFonts w:cstheme="majorBidi"/>
          <w:szCs w:val="24"/>
        </w:rPr>
        <w:t>are becoming increasingly evident</w:t>
      </w:r>
      <w:r w:rsidR="005712CA">
        <w:rPr>
          <w:rFonts w:cstheme="majorBidi"/>
          <w:szCs w:val="24"/>
        </w:rPr>
        <w:fldChar w:fldCharType="begin" w:fldLock="1"/>
      </w:r>
      <w:r w:rsidR="00ED4488">
        <w:rPr>
          <w:rFonts w:cstheme="majorBidi"/>
          <w:szCs w:val="24"/>
        </w:rPr>
        <w:instrText>ADDIN CSL_CITATION {"citationItems":[{"id":"ITEM-1","itemData":{"ISSN":"0028-0836","author":[{"dropping-particle":"","family":"Graham","given":"Flora","non-dropping-particle":"","parse-names":false,"suffix":""}],"container-title":"Nature","id":"ITEM-1","issued":{"date-parts":[["2020"]]},"title":"Daily briefing: Arctic heat wave is' unequivocal'evidence of climate change.","type":"article-journal"},"uris":["http://www.mendeley.com/documents/?uuid=c26f529f-2940-490c-a030-3c5803d297f3"]},{"id":"ITEM-2","itemData":{"ISSN":"2731-9997","author":[{"dropping-particle":"","family":"Costa","given":"Rodrigo","non-dropping-particle":"","parse-names":false,"suffix":""},{"dropping-particle":"","family":"Bolte","given":"Edward","non-dropping-particle":"","parse-names":false,"suffix":""},{"dropping-particle":"","family":"Sharp","given":"Colleen","non-dropping-particle":"","parse-names":false,"suffix":""},{"dropping-particle":"","family":"Bowers","given":"Corinne","non-dropping-particle":"","parse-names":false,"suffix":""}],"container-title":"Nature Cities","id":"ITEM-2","issued":{"date-parts":[["2024"]]},"page":"1-10","publisher":"Nature Publishing Group US New York","title":"Repeated and localized flooding is an underestimated challenge for urban disaster risk management","type":"article-journal"},"uris":["http://www.mendeley.com/documents/?uuid=680492d4-747d-4c2c-b40f-b719329f5a26"]},{"id":"ITEM-3","itemData":{"ISSN":"2041-1723","author":[{"dropping-particle":"","family":"Tippett","given":"Michael K","non-dropping-particle":"","parse-names":false,"suffix":""},{"dropping-particle":"","family":"Cohen","given":"Joel E","non-dropping-particle":"","parse-names":false,"suffix":""}],"container-title":"Nature communications","id":"ITEM-3","issue":"1","issued":{"date-parts":[["2016"]]},"page":"10668","publisher":"Nature Publishing Group UK London","title":"Tornado outbreak variability follows Taylor’s power law of fluctuation scaling and increases dramatically with severity","type":"article-journal","volume":"7"},"uris":["http://www.mendeley.com/documents/?uuid=f5c9be4f-f2ed-4000-a6dc-112dcd3baf32"]}],"mendeley":{"formattedCitation":"&lt;sup&gt;1–3&lt;/sup&gt;","plainTextFormattedCitation":"1–3","previouslyFormattedCitation":"&lt;sup&gt;1–3&lt;/sup&gt;"},"properties":{"noteIndex":0},"schema":"https://github.com/citation-style-language/schema/raw/master/csl-citation.json"}</w:instrText>
      </w:r>
      <w:r w:rsidR="005712CA">
        <w:rPr>
          <w:rFonts w:cstheme="majorBidi"/>
          <w:szCs w:val="24"/>
        </w:rPr>
        <w:fldChar w:fldCharType="separate"/>
      </w:r>
      <w:r w:rsidR="005712CA" w:rsidRPr="005712CA">
        <w:rPr>
          <w:rFonts w:cstheme="majorBidi"/>
          <w:noProof/>
          <w:szCs w:val="24"/>
          <w:vertAlign w:val="superscript"/>
        </w:rPr>
        <w:t>1–3</w:t>
      </w:r>
      <w:r w:rsidR="005712CA">
        <w:rPr>
          <w:rFonts w:cstheme="majorBidi"/>
          <w:szCs w:val="24"/>
        </w:rPr>
        <w:fldChar w:fldCharType="end"/>
      </w:r>
      <w:r w:rsidRPr="007A6B36">
        <w:rPr>
          <w:rFonts w:cstheme="majorBidi"/>
          <w:szCs w:val="24"/>
        </w:rPr>
        <w:t xml:space="preserve">. Transportation infrastructure is </w:t>
      </w:r>
      <w:r w:rsidR="001F7740">
        <w:rPr>
          <w:rFonts w:cstheme="majorBidi"/>
          <w:szCs w:val="24"/>
        </w:rPr>
        <w:t>acutely</w:t>
      </w:r>
      <w:r w:rsidRPr="007A6B36">
        <w:rPr>
          <w:rFonts w:cstheme="majorBidi"/>
          <w:szCs w:val="24"/>
        </w:rPr>
        <w:t xml:space="preserve"> vulnerable to these </w:t>
      </w:r>
      <w:r w:rsidR="001F7740">
        <w:rPr>
          <w:rFonts w:cstheme="majorBidi"/>
          <w:szCs w:val="24"/>
        </w:rPr>
        <w:t>shifts, as r</w:t>
      </w:r>
      <w:r w:rsidRPr="007A6B36">
        <w:rPr>
          <w:rFonts w:cstheme="majorBidi"/>
          <w:szCs w:val="24"/>
        </w:rPr>
        <w:t>ising sea levels</w:t>
      </w:r>
      <w:r w:rsidR="00227A97">
        <w:rPr>
          <w:rFonts w:cstheme="majorBidi"/>
          <w:szCs w:val="24"/>
        </w:rPr>
        <w:t xml:space="preserve"> and</w:t>
      </w:r>
      <w:r w:rsidRPr="007A6B36">
        <w:rPr>
          <w:rFonts w:cstheme="majorBidi"/>
          <w:szCs w:val="24"/>
        </w:rPr>
        <w:t xml:space="preserve"> </w:t>
      </w:r>
      <w:r w:rsidR="001F7740">
        <w:rPr>
          <w:rFonts w:cstheme="majorBidi"/>
          <w:szCs w:val="24"/>
        </w:rPr>
        <w:t>intensified weather events</w:t>
      </w:r>
      <w:r w:rsidRPr="007A6B36">
        <w:rPr>
          <w:rFonts w:cstheme="majorBidi"/>
          <w:szCs w:val="24"/>
        </w:rPr>
        <w:t xml:space="preserve"> </w:t>
      </w:r>
      <w:r w:rsidR="001F7740">
        <w:rPr>
          <w:rFonts w:cstheme="majorBidi"/>
          <w:szCs w:val="24"/>
        </w:rPr>
        <w:t>continue to damage roads</w:t>
      </w:r>
      <w:r w:rsidRPr="007A6B36">
        <w:rPr>
          <w:rFonts w:cstheme="majorBidi"/>
          <w:szCs w:val="24"/>
        </w:rPr>
        <w:t>, bridges, and rail</w:t>
      </w:r>
      <w:r w:rsidR="001F7740">
        <w:rPr>
          <w:rFonts w:cstheme="majorBidi"/>
          <w:szCs w:val="24"/>
        </w:rPr>
        <w:t xml:space="preserve"> </w:t>
      </w:r>
      <w:r w:rsidR="00227A97">
        <w:rPr>
          <w:rFonts w:cstheme="majorBidi"/>
          <w:szCs w:val="24"/>
        </w:rPr>
        <w:t>networks</w:t>
      </w:r>
      <w:r w:rsidR="001F7740">
        <w:rPr>
          <w:rFonts w:cstheme="majorBidi"/>
          <w:szCs w:val="24"/>
        </w:rPr>
        <w:t xml:space="preserve"> </w:t>
      </w:r>
      <w:r w:rsidRPr="007A6B36">
        <w:rPr>
          <w:rFonts w:cstheme="majorBidi"/>
          <w:szCs w:val="24"/>
        </w:rPr>
        <w:t>worldwide</w:t>
      </w:r>
      <w:r w:rsidR="002B506E" w:rsidRPr="007A6B36">
        <w:rPr>
          <w:rFonts w:cstheme="majorBidi"/>
          <w:szCs w:val="24"/>
        </w:rPr>
        <w:fldChar w:fldCharType="begin" w:fldLock="1"/>
      </w:r>
      <w:r w:rsidR="00ED4488">
        <w:rPr>
          <w:rFonts w:cstheme="majorBidi"/>
          <w:szCs w:val="24"/>
        </w:rPr>
        <w:instrText>ADDIN CSL_CITATION {"citationItems":[{"id":"ITEM-1","itemData":{"ISSN":"1758-678X","author":[{"dropping-particle":"","family":"Adshead","given":"Daniel","non-dropping-particle":"","parse-names":false,"suffix":""},{"dropping-particle":"","family":"Paszkowski","given":"Amelie","non-dropping-particle":"","parse-names":false,"suffix":""},{"dropping-particle":"","family":"Gall","given":"Sarah S","non-dropping-particle":"","parse-names":false,"suffix":""},{"dropping-particle":"","family":"Peard","given":"Alison M","non-dropping-particle":"","parse-names":false,"suffix":""},{"dropping-particle":"","family":"Adnan","given":"Mohammed Sarfaraz Gani","non-dropping-particle":"","parse-names":false,"suffix":""},{"dropping-particle":"","family":"Verschuur","given":"Jasper","non-dropping-particle":"","parse-names":false,"suffix":""},{"dropping-particle":"","family":"Hall","given":"Jim W","non-dropping-particle":"","parse-names":false,"suffix":""}],"container-title":"Nature Climate Change","id":"ITEM-1","issue":"4","issued":{"date-parts":[["2024"]]},"page":"344-352","publisher":"Nature Publishing Group UK London","title":"Climate threats to coastal infrastructure and sustainable development outcomes","type":"article-journal","volume":"14"},"uris":["http://www.mendeley.com/documents/?uuid=30435743-71a4-484c-925b-9184be9bf733"]},{"id":"ITEM-2","itemData":{"ISSN":"0027-8424","author":[{"dropping-particle":"","family":"Melvin","given":"April M","non-dropping-particle":"","parse-names":false,"suffix":""},{"dropping-particle":"","family":"Larsen","given":"Peter","non-dropping-particle":"","parse-names":false,"suffix":""},{"dropping-particle":"","family":"Boehlert","given":"Brent","non-dropping-particle":"","parse-names":false,"suffix":""},{"dropping-particle":"","family":"Neumann","given":"James E","non-dropping-particle":"","parse-names":false,"suffix":""},{"dropping-particle":"","family":"Chinowsky","given":"Paul","non-dropping-particle":"","parse-names":false,"suffix":""},{"dropping-particle":"","family":"Espinet","given":"Xavier","non-dropping-particle":"","parse-names":false,"suffix":""},{"dropping-particle":"","family":"Martinich","given":"Jeremy","non-dropping-particle":"","parse-names":false,"suffix":""},{"dropping-particle":"","family":"Baumann","given":"Matthew S","non-dropping-particle":"","parse-names":false,"suffix":""},{"dropping-particle":"","family":"Rennels","given":"Lisa","non-dropping-particle":"","parse-names":false,"suffix":""},{"dropping-particle":"","family":"Bothner","given":"Alexandra","non-dropping-particle":"","parse-names":false,"suffix":""}],"container-title":"Proceedings of the National Academy of Sciences","id":"ITEM-2","issue":"2","issued":{"date-parts":[["2017"]]},"page":"E122-E131","publisher":"National Acad Sciences","title":"Climate change damages to Alaska public infrastructure and the economics of proactive adaptation","type":"article-journal","volume":"114"},"uris":["http://www.mendeley.com/documents/?uuid=766a57b4-af01-46cd-a37c-3b45fc5e3ce7"]}],"mendeley":{"formattedCitation":"&lt;sup&gt;4,5&lt;/sup&gt;","plainTextFormattedCitation":"4,5","previouslyFormattedCitation":"&lt;sup&gt;4,5&lt;/sup&gt;"},"properties":{"noteIndex":0},"schema":"https://github.com/citation-style-language/schema/raw/master/csl-citation.json"}</w:instrText>
      </w:r>
      <w:r w:rsidR="002B506E" w:rsidRPr="007A6B36">
        <w:rPr>
          <w:rFonts w:cstheme="majorBidi"/>
          <w:szCs w:val="24"/>
        </w:rPr>
        <w:fldChar w:fldCharType="separate"/>
      </w:r>
      <w:r w:rsidR="005712CA" w:rsidRPr="005712CA">
        <w:rPr>
          <w:rFonts w:cstheme="majorBidi"/>
          <w:noProof/>
          <w:szCs w:val="24"/>
          <w:vertAlign w:val="superscript"/>
        </w:rPr>
        <w:t>4,5</w:t>
      </w:r>
      <w:r w:rsidR="002B506E" w:rsidRPr="007A6B36">
        <w:rPr>
          <w:rFonts w:cstheme="majorBidi"/>
          <w:szCs w:val="24"/>
        </w:rPr>
        <w:fldChar w:fldCharType="end"/>
      </w:r>
      <w:r w:rsidRPr="007A6B36">
        <w:rPr>
          <w:rFonts w:cstheme="majorBidi"/>
          <w:szCs w:val="24"/>
        </w:rPr>
        <w:t xml:space="preserve">. </w:t>
      </w:r>
      <w:r w:rsidR="007A6581" w:rsidRPr="007A6581">
        <w:rPr>
          <w:rFonts w:cstheme="majorBidi"/>
          <w:szCs w:val="24"/>
        </w:rPr>
        <w:t>Flooding and storm surges are occurring with greater frequency and severity, imposing substantial damage in coastal and low-lying regions such as the Mississippi River Basin in the United States and the Yangtze River Basin in China</w:t>
      </w:r>
      <w:r w:rsidR="00B64F74" w:rsidRPr="007A6B36">
        <w:rPr>
          <w:rFonts w:cstheme="majorBidi"/>
          <w:szCs w:val="24"/>
        </w:rPr>
        <w:fldChar w:fldCharType="begin" w:fldLock="1"/>
      </w:r>
      <w:r w:rsidR="00ED4488">
        <w:rPr>
          <w:rFonts w:cstheme="majorBidi"/>
          <w:szCs w:val="24"/>
        </w:rPr>
        <w:instrText>ADDIN CSL_CITATION {"citationItems":[{"id":"ITEM-1","itemData":{"ISSN":"0169-8095","author":[{"dropping-particle":"","family":"Yang","given":"Peng","non-dropping-particle":"","parse-names":false,"suffix":""},{"dropping-particle":"","family":"Xia","given":"Jun","non-dropping-particle":"","parse-names":false,"suffix":""},{"dropping-particle":"","family":"Luo","given":"Xiangang","non-dropping-particle":"","parse-names":false,"suffix":""},{"dropping-particle":"","family":"Meng","given":"Lingsheng","non-dropping-particle":"","parse-names":false,"suffix":""},{"dropping-particle":"","family":"Zhang","given":"Shengqing","non-dropping-particle":"","parse-names":false,"suffix":""},{"dropping-particle":"","family":"Cai","given":"Wei","non-dropping-particle":"","parse-names":false,"suffix":""},{"dropping-particle":"","family":"Wang","given":"Wenyu","non-dropping-particle":"","parse-names":false,"suffix":""}],"container-title":"Atmospheric Research","id":"ITEM-1","issued":{"date-parts":[["2021"]]},"page":"105819","publisher":"Elsevier","title":"Impacts of climate change-related flood events in the Yangtze River Basin based on multi-source data","type":"article-journal","volume":"263"},"uris":["http://www.mendeley.com/documents/?uuid=86c0d45f-72e1-4278-a03c-7e585f65cf45"]},{"id":"ITEM-2","itemData":{"ISSN":"0177-798X","author":[{"dropping-particle":"","family":"Lewis","given":"James W","non-dropping-particle":"","parse-names":false,"suffix":""},{"dropping-particle":"","family":"Lytle","given":"Sara E","non-dropping-particle":"","parse-names":false,"suffix":""},{"dropping-particle":"","family":"Tavakoly","given":"Ahmad A","non-dropping-particle":"","parse-names":false,"suffix":""}],"container-title":"Theoretical and Applied Climatology","id":"ITEM-2","issue":"3","issued":{"date-parts":[["2023"]]},"page":"1013-1034","publisher":"Springer","title":"Climate change projections of continental-scale streamflow across the Mississippi River Basin","type":"article-journal","volume":"151"},"uris":["http://www.mendeley.com/documents/?uuid=8b61a2d1-4960-4b1c-b197-7d96184f07a8"]}],"mendeley":{"formattedCitation":"&lt;sup&gt;6,7&lt;/sup&gt;","plainTextFormattedCitation":"6,7","previouslyFormattedCitation":"&lt;sup&gt;6,7&lt;/sup&gt;"},"properties":{"noteIndex":0},"schema":"https://github.com/citation-style-language/schema/raw/master/csl-citation.json"}</w:instrText>
      </w:r>
      <w:r w:rsidR="00B64F74" w:rsidRPr="007A6B36">
        <w:rPr>
          <w:rFonts w:cstheme="majorBidi"/>
          <w:szCs w:val="24"/>
        </w:rPr>
        <w:fldChar w:fldCharType="separate"/>
      </w:r>
      <w:r w:rsidR="005712CA" w:rsidRPr="005712CA">
        <w:rPr>
          <w:rFonts w:cstheme="majorBidi"/>
          <w:noProof/>
          <w:szCs w:val="24"/>
          <w:vertAlign w:val="superscript"/>
        </w:rPr>
        <w:t>6,7</w:t>
      </w:r>
      <w:r w:rsidR="00B64F74" w:rsidRPr="007A6B36">
        <w:rPr>
          <w:rFonts w:cstheme="majorBidi"/>
          <w:szCs w:val="24"/>
        </w:rPr>
        <w:fldChar w:fldCharType="end"/>
      </w:r>
      <w:r w:rsidR="00E70079">
        <w:rPr>
          <w:rFonts w:cstheme="majorBidi"/>
          <w:szCs w:val="24"/>
        </w:rPr>
        <w:t xml:space="preserve">. </w:t>
      </w:r>
      <w:r w:rsidR="00E713C2">
        <w:rPr>
          <w:rFonts w:cstheme="majorBidi"/>
          <w:szCs w:val="24"/>
        </w:rPr>
        <w:t xml:space="preserve">Hurricane Helene in 2024 further demonstrated the vulnerability of roadway systems in </w:t>
      </w:r>
      <w:r w:rsidR="00E70079" w:rsidRPr="00E70079">
        <w:rPr>
          <w:rFonts w:cstheme="majorBidi"/>
          <w:szCs w:val="24"/>
        </w:rPr>
        <w:t>the southeastern United States</w:t>
      </w:r>
      <w:r w:rsidR="00E713C2">
        <w:rPr>
          <w:rFonts w:cstheme="majorBidi"/>
          <w:szCs w:val="24"/>
        </w:rPr>
        <w:t>.</w:t>
      </w:r>
    </w:p>
    <w:p w14:paraId="2889A95D" w14:textId="1B743305" w:rsidR="005309B0" w:rsidRDefault="00E713C2" w:rsidP="000D4A0A">
      <w:pPr>
        <w:spacing w:line="240" w:lineRule="auto"/>
        <w:rPr>
          <w:rFonts w:cstheme="majorBidi"/>
          <w:szCs w:val="24"/>
        </w:rPr>
      </w:pPr>
      <w:r w:rsidRPr="00E713C2">
        <w:rPr>
          <w:rFonts w:cstheme="majorBidi"/>
          <w:szCs w:val="24"/>
        </w:rPr>
        <w:t xml:space="preserve">Transportation infrastructure designed using historical climate records may be exposed to conditions outside the ranges represented in those records, resulting in accelerated deterioration and unexpected </w:t>
      </w:r>
      <w:r w:rsidR="00172579">
        <w:rPr>
          <w:rFonts w:cstheme="majorBidi"/>
          <w:szCs w:val="24"/>
        </w:rPr>
        <w:t>failure</w:t>
      </w:r>
      <w:r w:rsidR="005309B0">
        <w:rPr>
          <w:rFonts w:cstheme="majorBidi"/>
          <w:szCs w:val="24"/>
        </w:rPr>
        <w:t>s</w:t>
      </w:r>
      <w:r w:rsidR="004326E4" w:rsidRPr="007A6B36">
        <w:rPr>
          <w:rFonts w:cstheme="majorBidi"/>
          <w:szCs w:val="24"/>
        </w:rPr>
        <w:fldChar w:fldCharType="begin" w:fldLock="1"/>
      </w:r>
      <w:r w:rsidR="00ED4488">
        <w:rPr>
          <w:rFonts w:cstheme="majorBidi"/>
          <w:szCs w:val="24"/>
        </w:rPr>
        <w:instrText>ADDIN CSL_CITATION {"citationItems":[{"id":"ITEM-1","itemData":{"ISSN":"0165-0009","author":[{"dropping-particle":"","family":"Neumann","given":"James E","non-dropping-particle":"","parse-names":false,"suffix":""},{"dropping-particle":"","family":"Chinowsky","given":"Paul","non-dropping-particle":"","parse-names":false,"suffix":""},{"dropping-particle":"","family":"Helman","given":"Jacob","non-dropping-particle":"","parse-names":false,"suffix":""},{"dropping-particle":"","family":"Black","given":"Margaret","non-dropping-particle":"","parse-names":false,"suffix":""},{"dropping-particle":"","family":"Fant","given":"Charles","non-dropping-particle":"","parse-names":false,"suffix":""},{"dropping-particle":"","family":"Strzepek","given":"Kenneth","non-dropping-particle":"","parse-names":false,"suffix":""},{"dropping-particle":"","family":"Martinich","given":"Jeremy","non-dropping-particle":"","parse-names":false,"suffix":""}],"container-title":"Climatic change","id":"ITEM-1","issue":"3","issued":{"date-parts":[["2021"]]},"page":"44","publisher":"Springer","title":"Climate effects on US infrastructure: the economics of adaptation for rail, roads, and coastal development","type":"article-journal","volume":"167"},"uris":["http://www.mendeley.com/documents/?uuid=92f9275e-96d9-4fc2-b4ef-7fd468ecb825"]}],"mendeley":{"formattedCitation":"&lt;sup&gt;8&lt;/sup&gt;","plainTextFormattedCitation":"8","previouslyFormattedCitation":"&lt;sup&gt;8&lt;/sup&gt;"},"properties":{"noteIndex":0},"schema":"https://github.com/citation-style-language/schema/raw/master/csl-citation.json"}</w:instrText>
      </w:r>
      <w:r w:rsidR="004326E4" w:rsidRPr="007A6B36">
        <w:rPr>
          <w:rFonts w:cstheme="majorBidi"/>
          <w:szCs w:val="24"/>
        </w:rPr>
        <w:fldChar w:fldCharType="separate"/>
      </w:r>
      <w:r w:rsidR="005712CA" w:rsidRPr="005712CA">
        <w:rPr>
          <w:rFonts w:cstheme="majorBidi"/>
          <w:noProof/>
          <w:szCs w:val="24"/>
          <w:vertAlign w:val="superscript"/>
        </w:rPr>
        <w:t>8</w:t>
      </w:r>
      <w:r w:rsidR="004326E4" w:rsidRPr="007A6B36">
        <w:rPr>
          <w:rFonts w:cstheme="majorBidi"/>
          <w:szCs w:val="24"/>
        </w:rPr>
        <w:fldChar w:fldCharType="end"/>
      </w:r>
      <w:r w:rsidR="002B506E" w:rsidRPr="007A6B36">
        <w:rPr>
          <w:rFonts w:cstheme="majorBidi"/>
          <w:szCs w:val="24"/>
        </w:rPr>
        <w:t xml:space="preserve">. </w:t>
      </w:r>
      <w:r w:rsidR="005712CA">
        <w:rPr>
          <w:rFonts w:cstheme="majorBidi"/>
          <w:szCs w:val="24"/>
        </w:rPr>
        <w:t>Roadway</w:t>
      </w:r>
      <w:r w:rsidR="000708A7">
        <w:rPr>
          <w:rFonts w:cstheme="majorBidi"/>
          <w:szCs w:val="24"/>
        </w:rPr>
        <w:t xml:space="preserve"> </w:t>
      </w:r>
      <w:r w:rsidRPr="00E713C2">
        <w:rPr>
          <w:rFonts w:cstheme="majorBidi"/>
          <w:szCs w:val="24"/>
        </w:rPr>
        <w:t>design traditionally uses historical temperature, precipitation, and weather data to guide material selection and structural configuration</w:t>
      </w:r>
      <w:r w:rsidR="000708A7">
        <w:rPr>
          <w:rFonts w:cstheme="majorBidi"/>
          <w:szCs w:val="24"/>
        </w:rPr>
        <w:t xml:space="preserve">. </w:t>
      </w:r>
      <w:r w:rsidR="004A2531" w:rsidRPr="007A6B36">
        <w:rPr>
          <w:rFonts w:cstheme="majorBidi"/>
          <w:szCs w:val="24"/>
        </w:rPr>
        <w:t xml:space="preserve">For </w:t>
      </w:r>
      <w:r w:rsidR="005712CA">
        <w:rPr>
          <w:rFonts w:cstheme="majorBidi"/>
          <w:szCs w:val="24"/>
        </w:rPr>
        <w:t>instance</w:t>
      </w:r>
      <w:r w:rsidR="004A2531" w:rsidRPr="007A6B36">
        <w:rPr>
          <w:rFonts w:cstheme="majorBidi"/>
          <w:szCs w:val="24"/>
        </w:rPr>
        <w:t xml:space="preserve">, </w:t>
      </w:r>
      <w:r w:rsidR="0028485E" w:rsidRPr="0028485E">
        <w:rPr>
          <w:rFonts w:cstheme="majorBidi"/>
          <w:szCs w:val="24"/>
        </w:rPr>
        <w:t>ASTM D6373</w:t>
      </w:r>
      <w:r w:rsidR="00172579">
        <w:rPr>
          <w:rFonts w:cstheme="majorBidi"/>
          <w:szCs w:val="24"/>
        </w:rPr>
        <w:t>, “</w:t>
      </w:r>
      <w:r w:rsidR="00172579" w:rsidRPr="00172579">
        <w:rPr>
          <w:rFonts w:cstheme="majorBidi"/>
          <w:i/>
          <w:iCs/>
          <w:szCs w:val="24"/>
        </w:rPr>
        <w:t>Standard Specification for Performance-Graded Asphalt Binder</w:t>
      </w:r>
      <w:r w:rsidR="00172579" w:rsidRPr="00172579">
        <w:rPr>
          <w:rFonts w:cstheme="majorBidi"/>
          <w:szCs w:val="24"/>
        </w:rPr>
        <w:t xml:space="preserve"> “</w:t>
      </w:r>
      <w:r w:rsidR="00172579" w:rsidRPr="00172579">
        <w:rPr>
          <w:rFonts w:cstheme="majorBidi"/>
          <w:i/>
          <w:iCs/>
          <w:szCs w:val="24"/>
        </w:rPr>
        <w:t>,</w:t>
      </w:r>
      <w:r w:rsidR="00172579">
        <w:rPr>
          <w:rFonts w:cstheme="majorBidi"/>
          <w:szCs w:val="24"/>
        </w:rPr>
        <w:t xml:space="preserve"> </w:t>
      </w:r>
      <w:r w:rsidR="0028485E" w:rsidRPr="0028485E">
        <w:rPr>
          <w:rFonts w:cstheme="majorBidi"/>
          <w:szCs w:val="24"/>
        </w:rPr>
        <w:t>specifies</w:t>
      </w:r>
      <w:r w:rsidR="000708A7" w:rsidRPr="000708A7">
        <w:rPr>
          <w:rFonts w:cstheme="majorBidi"/>
          <w:szCs w:val="24"/>
        </w:rPr>
        <w:t xml:space="preserve"> that binder selection should align with the seven-day average maximum and minimum pavement temperatures</w:t>
      </w:r>
      <w:r w:rsidR="0028485E" w:rsidRPr="0028485E">
        <w:rPr>
          <w:rFonts w:cstheme="majorBidi"/>
          <w:szCs w:val="24"/>
        </w:rPr>
        <w:t>.</w:t>
      </w:r>
      <w:r w:rsidR="003B07FF">
        <w:rPr>
          <w:rFonts w:cstheme="majorBidi"/>
          <w:szCs w:val="24"/>
        </w:rPr>
        <w:t xml:space="preserve"> </w:t>
      </w:r>
      <w:r w:rsidR="002B506E" w:rsidRPr="007A6B36">
        <w:rPr>
          <w:rFonts w:cstheme="majorBidi"/>
          <w:szCs w:val="24"/>
        </w:rPr>
        <w:t>However, these methods are becoming outdated as climate change leads to more frequent and severe extreme weather events, such as prolonged heatwaves, intense rainfall, flooding, and stronger storms</w:t>
      </w:r>
      <w:r w:rsidR="000708A7">
        <w:rPr>
          <w:rFonts w:cstheme="majorBidi"/>
          <w:szCs w:val="24"/>
        </w:rPr>
        <w:t xml:space="preserve">, which exceed the </w:t>
      </w:r>
      <w:r w:rsidR="00A804EB">
        <w:rPr>
          <w:rFonts w:cstheme="majorBidi"/>
          <w:szCs w:val="24"/>
        </w:rPr>
        <w:t>thresholds obtained from</w:t>
      </w:r>
      <w:r w:rsidR="000708A7">
        <w:rPr>
          <w:rFonts w:cstheme="majorBidi"/>
          <w:szCs w:val="24"/>
        </w:rPr>
        <w:t xml:space="preserve"> historical data</w:t>
      </w:r>
      <w:r w:rsidR="002B506E" w:rsidRPr="007A6B36">
        <w:rPr>
          <w:rFonts w:cstheme="majorBidi"/>
          <w:szCs w:val="24"/>
        </w:rPr>
        <w:t>.</w:t>
      </w:r>
    </w:p>
    <w:p w14:paraId="73C9ED1B" w14:textId="46A8A857" w:rsidR="00691A1E" w:rsidRPr="007A6B36" w:rsidRDefault="00E713C2" w:rsidP="000D4A0A">
      <w:pPr>
        <w:spacing w:line="240" w:lineRule="auto"/>
        <w:rPr>
          <w:rFonts w:cstheme="majorBidi"/>
          <w:szCs w:val="24"/>
        </w:rPr>
      </w:pPr>
      <w:r w:rsidRPr="00E713C2">
        <w:rPr>
          <w:rFonts w:cstheme="majorBidi"/>
          <w:szCs w:val="24"/>
        </w:rPr>
        <w:lastRenderedPageBreak/>
        <w:t xml:space="preserve">These conditions can exceed the performance ranges assumed for existing infrastructure and increase deterioration </w:t>
      </w:r>
      <w:r w:rsidR="002B506E" w:rsidRPr="007A6B36">
        <w:rPr>
          <w:rFonts w:cstheme="majorBidi"/>
          <w:szCs w:val="24"/>
        </w:rPr>
        <w:t>rate</w:t>
      </w:r>
      <w:r w:rsidR="00172579">
        <w:rPr>
          <w:rFonts w:cstheme="majorBidi"/>
          <w:szCs w:val="24"/>
        </w:rPr>
        <w:fldChar w:fldCharType="begin" w:fldLock="1"/>
      </w:r>
      <w:r w:rsidR="005309B0">
        <w:rPr>
          <w:rFonts w:cstheme="majorBidi"/>
          <w:szCs w:val="24"/>
        </w:rPr>
        <w:instrText>ADDIN CSL_CITATION {"citationItems":[{"id":"ITEM-1","itemData":{"ISSN":"1758-678X","author":[{"dropping-particle":"","family":"Underwood","given":"B Shane","non-dropping-particle":"","parse-names":false,"suffix":""},{"dropping-particle":"","family":"Guido","given":"Zack","non-dropping-particle":"","parse-names":false,"suffix":""},{"dropping-particle":"","family":"Gudipudi","given":"Padmini","non-dropping-particle":"","parse-names":false,"suffix":""},{"dropping-particle":"","family":"Feinberg","given":"Yarden","non-dropping-particle":"","parse-names":false,"suffix":""}],"container-title":"Nature Climate Change","id":"ITEM-1","issue":"10","issued":{"date-parts":[["2017"]]},"page":"704-707","publisher":"Nature Publishing Group UK London","title":"Increased costs to US pavement infrastructure from future temperature rise","type":"article-journal","volume":"7"},"uris":["http://www.mendeley.com/documents/?uuid=b6887413-eed2-41a7-b6b6-ea333c193d29"]}],"mendeley":{"formattedCitation":"&lt;sup&gt;9&lt;/sup&gt;","plainTextFormattedCitation":"9","previouslyFormattedCitation":"&lt;sup&gt;9&lt;/sup&gt;"},"properties":{"noteIndex":0},"schema":"https://github.com/citation-style-language/schema/raw/master/csl-citation.json"}</w:instrText>
      </w:r>
      <w:r w:rsidR="00172579">
        <w:rPr>
          <w:rFonts w:cstheme="majorBidi"/>
          <w:szCs w:val="24"/>
        </w:rPr>
        <w:fldChar w:fldCharType="separate"/>
      </w:r>
      <w:r w:rsidR="00172579" w:rsidRPr="00172579">
        <w:rPr>
          <w:rFonts w:cstheme="majorBidi"/>
          <w:noProof/>
          <w:szCs w:val="24"/>
          <w:vertAlign w:val="superscript"/>
        </w:rPr>
        <w:t>9</w:t>
      </w:r>
      <w:r w:rsidR="00172579">
        <w:rPr>
          <w:rFonts w:cstheme="majorBidi"/>
          <w:szCs w:val="24"/>
        </w:rPr>
        <w:fldChar w:fldCharType="end"/>
      </w:r>
      <w:r w:rsidR="002B506E" w:rsidRPr="007A6B36">
        <w:rPr>
          <w:rFonts w:cstheme="majorBidi"/>
          <w:szCs w:val="24"/>
        </w:rPr>
        <w:t xml:space="preserve">. </w:t>
      </w:r>
      <w:r w:rsidR="005309B0">
        <w:rPr>
          <w:rFonts w:cstheme="majorBidi"/>
          <w:szCs w:val="24"/>
        </w:rPr>
        <w:t>P</w:t>
      </w:r>
      <w:r w:rsidR="002B506E" w:rsidRPr="007A6B36">
        <w:rPr>
          <w:rFonts w:cstheme="majorBidi"/>
          <w:szCs w:val="24"/>
        </w:rPr>
        <w:t xml:space="preserve">rolonged heat exposure </w:t>
      </w:r>
      <w:r w:rsidRPr="00E713C2">
        <w:rPr>
          <w:rFonts w:cstheme="majorBidi"/>
          <w:szCs w:val="24"/>
        </w:rPr>
        <w:t>can soften asphalt mixtures and increase susceptibility to rutting and permanent deformation, while excessive rainfall can overwhelm drainage systems and weaken pavement</w:t>
      </w:r>
      <w:r>
        <w:rPr>
          <w:rFonts w:cstheme="majorBidi"/>
          <w:szCs w:val="24"/>
        </w:rPr>
        <w:t xml:space="preserve"> structure</w:t>
      </w:r>
      <w:r w:rsidR="002B506E" w:rsidRPr="007A6B36">
        <w:rPr>
          <w:rFonts w:cstheme="majorBidi"/>
          <w:szCs w:val="24"/>
        </w:rPr>
        <w:t xml:space="preserve">. In coastal regions, </w:t>
      </w:r>
      <w:r w:rsidRPr="00E713C2">
        <w:rPr>
          <w:rFonts w:cstheme="majorBidi"/>
          <w:szCs w:val="24"/>
        </w:rPr>
        <w:t>sea-level rise and storm surge increase the frequency of roadway inundation</w:t>
      </w:r>
      <w:r w:rsidR="004A2531" w:rsidRPr="007A6B36">
        <w:rPr>
          <w:rFonts w:cstheme="majorBidi"/>
          <w:szCs w:val="24"/>
        </w:rPr>
        <w:fldChar w:fldCharType="begin" w:fldLock="1"/>
      </w:r>
      <w:r w:rsidR="00652E87">
        <w:rPr>
          <w:rFonts w:cstheme="majorBidi"/>
          <w:szCs w:val="24"/>
        </w:rPr>
        <w:instrText>ADDIN CSL_CITATION {"citationItems":[{"id":"ITEM-1","itemData":{"ISSN":"1551-5036","author":[{"dropping-particle":"","family":"Williams","given":"S Jeffress","non-dropping-particle":"","parse-names":false,"suffix":""}],"container-title":"Journal of Coastal Research","id":"ITEM-1","issue":"63","issued":{"date-parts":[["2013"]]},"page":"184-196","publisher":"The Coastal Education and Research Foundation","title":"Sea-level rise implications for coastal regions","type":"article-journal"},"uris":["http://www.mendeley.com/documents/?uuid=6547a2eb-3de2-47f8-bba2-2fc5e3d3db74"]},{"id":"ITEM-2","itemData":{"ISSN":"0028-0836","author":[{"dropping-particle":"","family":"Schuerch","given":"Mark","non-dropping-particle":"","parse-names":false,"suffix":""},{"dropping-particle":"","family":"Spencer","given":"Tom","non-dropping-particle":"","parse-names":false,"suffix":""},{"dropping-particle":"","family":"Temmerman","given":"Stijn","non-dropping-particle":"","parse-names":false,"suffix":""},{"dropping-particle":"","family":"Kirwan","given":"Matthew L","non-dropping-particle":"","parse-names":false,"suffix":""},{"dropping-particle":"","family":"Wolff","given":"Claudia","non-dropping-particle":"","parse-names":false,"suffix":""},{"dropping-particle":"","family":"Lincke","given":"Daniel","non-dropping-particle":"","parse-names":false,"suffix":""},{"dropping-particle":"","family":"McOwen","given":"Chris J","non-dropping-particle":"","parse-names":false,"suffix":""},{"dropping-particle":"","family":"Pickering","given":"Mark D","non-dropping-particle":"","parse-names":false,"suffix":""},{"dropping-particle":"","family":"Reef","given":"Ruth","non-dropping-particle":"","parse-names":false,"suffix":""},{"dropping-particle":"","family":"Vafeidis","given":"Athanasios T","non-dropping-particle":"","parse-names":false,"suffix":""}],"container-title":"Nature","id":"ITEM-2","issue":"7722","issued":{"date-parts":[["2018"]]},"page":"231-234","publisher":"Nature Publishing Group UK London","title":"Future response of global coastal wetlands to sea-level rise","type":"article-journal","volume":"561"},"uris":["http://www.mendeley.com/documents/?uuid=e1836a7c-246e-4a00-9f5f-fef49e5e7cc7"]},{"id":"ITEM-3","itemData":{"ISSN":"0144-1647","author":[{"dropping-particle":"","family":"Voskaki","given":"Asimina","non-dropping-particle":"","parse-names":false,"suffix":""},{"dropping-particle":"","family":"Budd","given":"Thomas","non-dropping-particle":"","parse-names":false,"suffix":""},{"dropping-particle":"","family":"Mason","given":"Keith","non-dropping-particle":"","parse-names":false,"suffix":""}],"container-title":"Transport reviews","id":"ITEM-3","issue":"4","issued":{"date-parts":[["2023"]]},"page":"652-675","publisher":"Taylor &amp; Francis","title":"The impact of climate hazards to airport systems: a synthesis of the implications and risk mitigation trends","type":"article-journal","volume":"43"},"uris":["http://www.mendeley.com/documents/?uuid=b788cb0c-191f-47b2-b62a-7ddc80ff060b"]}],"mendeley":{"formattedCitation":"&lt;sup&gt;10–12&lt;/sup&gt;","plainTextFormattedCitation":"10–12","previouslyFormattedCitation":"&lt;sup&gt;10–12&lt;/sup&gt;"},"properties":{"noteIndex":0},"schema":"https://github.com/citation-style-language/schema/raw/master/csl-citation.json"}</w:instrText>
      </w:r>
      <w:r w:rsidR="004A2531" w:rsidRPr="007A6B36">
        <w:rPr>
          <w:rFonts w:cstheme="majorBidi"/>
          <w:szCs w:val="24"/>
        </w:rPr>
        <w:fldChar w:fldCharType="separate"/>
      </w:r>
      <w:r w:rsidR="005309B0" w:rsidRPr="005309B0">
        <w:rPr>
          <w:rFonts w:cstheme="majorBidi"/>
          <w:noProof/>
          <w:szCs w:val="24"/>
          <w:vertAlign w:val="superscript"/>
        </w:rPr>
        <w:t>10–12</w:t>
      </w:r>
      <w:r w:rsidR="004A2531" w:rsidRPr="007A6B36">
        <w:rPr>
          <w:rFonts w:cstheme="majorBidi"/>
          <w:szCs w:val="24"/>
        </w:rPr>
        <w:fldChar w:fldCharType="end"/>
      </w:r>
      <w:r w:rsidR="002B506E" w:rsidRPr="007A6B36">
        <w:rPr>
          <w:rFonts w:cstheme="majorBidi"/>
          <w:szCs w:val="24"/>
        </w:rPr>
        <w:t>.</w:t>
      </w:r>
      <w:r w:rsidR="005309B0">
        <w:rPr>
          <w:rFonts w:cstheme="majorBidi"/>
          <w:szCs w:val="24"/>
        </w:rPr>
        <w:t xml:space="preserve"> </w:t>
      </w:r>
      <w:r w:rsidR="00691A1E" w:rsidRPr="007A6B36">
        <w:rPr>
          <w:rFonts w:cstheme="majorBidi"/>
          <w:szCs w:val="24"/>
        </w:rPr>
        <w:t>According to the National Oceanic and Atmospheric Administration (NOAA), more than 60,000 miles of U.S. roads and bridges in coastal areas are at risk of flooding and endangered by climate change-related sea-level rise</w:t>
      </w:r>
      <w:r w:rsidR="00691A1E" w:rsidRPr="007A6B36">
        <w:rPr>
          <w:rFonts w:cstheme="majorBidi"/>
          <w:szCs w:val="24"/>
        </w:rPr>
        <w:fldChar w:fldCharType="begin" w:fldLock="1"/>
      </w:r>
      <w:r w:rsidR="00652E87">
        <w:rPr>
          <w:rFonts w:cstheme="majorBidi"/>
          <w:szCs w:val="24"/>
        </w:rPr>
        <w:instrText>ADDIN CSL_CITATION {"citationItems":[{"id":"ITEM-1","itemData":{"author":[{"dropping-particle":"","family":"Reidmiller","given":"David R","non-dropping-particle":"","parse-names":false,"suffix":""},{"dropping-particle":"","family":"Avery","given":"Christopher W","non-dropping-particle":"","parse-names":false,"suffix":""},{"dropping-particle":"","family":"Easterling","given":"David R","non-dropping-particle":"","parse-names":false,"suffix":""},{"dropping-particle":"","family":"Kunkel","given":"Kenneth E","non-dropping-particle":"","parse-names":false,"suffix":""},{"dropping-particle":"","family":"Lewis","given":"Kristin L M","non-dropping-particle":"","parse-names":false,"suffix":""},{"dropping-particle":"","family":"Maycock","given":"Thomas K","non-dropping-particle":"","parse-names":false,"suffix":""},{"dropping-particle":"","family":"Stewart","given":"Brooke C","non-dropping-particle":"","parse-names":false,"suffix":""}],"id":"ITEM-1","issued":{"date-parts":[["2017"]]},"title":"Impacts, risks, and adaptation in the United States: Fourth national climate assessment, volume II","type":"article-journal"},"uris":["http://www.mendeley.com/documents/?uuid=080cf1de-3faf-426e-9415-ee7111613d03"]}],"mendeley":{"formattedCitation":"&lt;sup&gt;13&lt;/sup&gt;","plainTextFormattedCitation":"13","previouslyFormattedCitation":"&lt;sup&gt;13&lt;/sup&gt;"},"properties":{"noteIndex":0},"schema":"https://github.com/citation-style-language/schema/raw/master/csl-citation.json"}</w:instrText>
      </w:r>
      <w:r w:rsidR="00691A1E" w:rsidRPr="007A6B36">
        <w:rPr>
          <w:rFonts w:cstheme="majorBidi"/>
          <w:szCs w:val="24"/>
        </w:rPr>
        <w:fldChar w:fldCharType="separate"/>
      </w:r>
      <w:r w:rsidR="005309B0" w:rsidRPr="005309B0">
        <w:rPr>
          <w:rFonts w:cstheme="majorBidi"/>
          <w:noProof/>
          <w:szCs w:val="24"/>
          <w:vertAlign w:val="superscript"/>
        </w:rPr>
        <w:t>13</w:t>
      </w:r>
      <w:r w:rsidR="00691A1E" w:rsidRPr="007A6B36">
        <w:rPr>
          <w:rFonts w:cstheme="majorBidi"/>
          <w:szCs w:val="24"/>
        </w:rPr>
        <w:fldChar w:fldCharType="end"/>
      </w:r>
      <w:r w:rsidR="00691A1E" w:rsidRPr="007A6B36">
        <w:rPr>
          <w:rFonts w:cstheme="majorBidi"/>
          <w:szCs w:val="24"/>
        </w:rPr>
        <w:t xml:space="preserve">. </w:t>
      </w:r>
      <w:r>
        <w:rPr>
          <w:rFonts w:cstheme="majorBidi"/>
          <w:szCs w:val="24"/>
        </w:rPr>
        <w:t>More broadly, t</w:t>
      </w:r>
      <w:r w:rsidR="00691A1E" w:rsidRPr="007A6B36">
        <w:rPr>
          <w:rFonts w:cstheme="majorBidi"/>
          <w:szCs w:val="24"/>
        </w:rPr>
        <w:t xml:space="preserve">he reliability, safety, and efficiency of the U.S. transportation system are at risk from increases in heavy precipitation, coastal flooding, heat, wildfires, and other extreme events, </w:t>
      </w:r>
      <w:r>
        <w:rPr>
          <w:rFonts w:cstheme="majorBidi"/>
          <w:szCs w:val="24"/>
        </w:rPr>
        <w:t>and</w:t>
      </w:r>
      <w:r w:rsidR="00691A1E" w:rsidRPr="007A6B36">
        <w:rPr>
          <w:rFonts w:cstheme="majorBidi"/>
          <w:szCs w:val="24"/>
        </w:rPr>
        <w:t xml:space="preserve"> changes </w:t>
      </w:r>
      <w:r>
        <w:rPr>
          <w:rFonts w:cstheme="majorBidi"/>
          <w:szCs w:val="24"/>
        </w:rPr>
        <w:t>in average climate conditions</w:t>
      </w:r>
      <w:r w:rsidR="00691A1E" w:rsidRPr="007A6B36">
        <w:rPr>
          <w:rFonts w:cstheme="majorBidi"/>
          <w:szCs w:val="24"/>
        </w:rPr>
        <w:fldChar w:fldCharType="begin" w:fldLock="1"/>
      </w:r>
      <w:r w:rsidR="00652E87">
        <w:rPr>
          <w:rFonts w:cstheme="majorBidi"/>
          <w:szCs w:val="24"/>
        </w:rPr>
        <w:instrText>ADDIN CSL_CITATION {"citationItems":[{"id":"ITEM-1","itemData":{"author":[{"dropping-particle":"","family":"Reidmiller","given":"David R","non-dropping-particle":"","parse-names":false,"suffix":""},{"dropping-particle":"","family":"Avery","given":"Christopher W","non-dropping-particle":"","parse-names":false,"suffix":""},{"dropping-particle":"","family":"Easterling","given":"David R","non-dropping-particle":"","parse-names":false,"suffix":""},{"dropping-particle":"","family":"Kunkel","given":"Kenneth E","non-dropping-particle":"","parse-names":false,"suffix":""},{"dropping-particle":"","family":"Lewis","given":"Kristin L M","non-dropping-particle":"","parse-names":false,"suffix":""},{"dropping-particle":"","family":"Maycock","given":"Thomas K","non-dropping-particle":"","parse-names":false,"suffix":""},{"dropping-particle":"","family":"Stewart","given":"Brooke C","non-dropping-particle":"","parse-names":false,"suffix":""}],"id":"ITEM-1","issued":{"date-parts":[["2017"]]},"title":"Impacts, risks, and adaptation in the United States: Fourth national climate assessment, volume II","type":"article-journal"},"uris":["http://www.mendeley.com/documents/?uuid=080cf1de-3faf-426e-9415-ee7111613d03"]},{"id":"ITEM-2","itemData":{"ISSN":"1758-678X","author":[{"dropping-particle":"","family":"Piemontese","given":"Luigi","non-dropping-particle":"","parse-names":false,"suffix":""},{"dropping-particle":"","family":"Terzi","given":"Stefano","non-dropping-particle":"","parse-names":false,"suffix":""},{"dropping-particle":"","family":"Baldassarre","given":"Giuliano","non-dropping-particle":"Di","parse-names":false,"suffix":""},{"dropping-particle":"","family":"Menestrey Schwieger","given":"Diego A","non-dropping-particle":"","parse-names":false,"suffix":""},{"dropping-particle":"","family":"Castelli","given":"Giulio","non-dropping-particle":"","parse-names":false,"suffix":""},{"dropping-particle":"","family":"Bresci","given":"Elena","non-dropping-particle":"","parse-names":false,"suffix":""}],"container-title":"Nature Climate Change","id":"ITEM-2","issue":"3","issued":{"date-parts":[["2024"]]},"page":"267-274","publisher":"Nature Publishing Group UK London","title":"Over-reliance on water infrastructure can hinder climate resilience in pastoral drylands","type":"article-journal","volume":"14"},"uris":["http://www.mendeley.com/documents/?uuid=c8099145-b944-48c3-9539-36c1c1da5b57"]}],"mendeley":{"formattedCitation":"&lt;sup&gt;13,14&lt;/sup&gt;","plainTextFormattedCitation":"13,14","previouslyFormattedCitation":"&lt;sup&gt;13,14&lt;/sup&gt;"},"properties":{"noteIndex":0},"schema":"https://github.com/citation-style-language/schema/raw/master/csl-citation.json"}</w:instrText>
      </w:r>
      <w:r w:rsidR="00691A1E" w:rsidRPr="007A6B36">
        <w:rPr>
          <w:rFonts w:cstheme="majorBidi"/>
          <w:szCs w:val="24"/>
        </w:rPr>
        <w:fldChar w:fldCharType="separate"/>
      </w:r>
      <w:r w:rsidR="005309B0" w:rsidRPr="005309B0">
        <w:rPr>
          <w:rFonts w:cstheme="majorBidi"/>
          <w:noProof/>
          <w:szCs w:val="24"/>
          <w:vertAlign w:val="superscript"/>
        </w:rPr>
        <w:t>13,14</w:t>
      </w:r>
      <w:r w:rsidR="00691A1E" w:rsidRPr="007A6B36">
        <w:rPr>
          <w:rFonts w:cstheme="majorBidi"/>
          <w:szCs w:val="24"/>
        </w:rPr>
        <w:fldChar w:fldCharType="end"/>
      </w:r>
      <w:r w:rsidR="00691A1E" w:rsidRPr="007A6B36">
        <w:rPr>
          <w:rFonts w:cstheme="majorBidi"/>
          <w:szCs w:val="24"/>
        </w:rPr>
        <w:t>.</w:t>
      </w:r>
    </w:p>
    <w:p w14:paraId="02A2BC2D" w14:textId="4F89C638" w:rsidR="00186043" w:rsidRPr="007A6B36" w:rsidRDefault="005309B0" w:rsidP="000D4A0A">
      <w:pPr>
        <w:spacing w:line="240" w:lineRule="auto"/>
        <w:rPr>
          <w:rFonts w:cstheme="majorBidi"/>
          <w:szCs w:val="24"/>
        </w:rPr>
      </w:pPr>
      <w:r w:rsidRPr="005309B0">
        <w:rPr>
          <w:rFonts w:cstheme="majorBidi"/>
          <w:szCs w:val="24"/>
        </w:rPr>
        <w:t xml:space="preserve">While roadways are designed to endure a range of environmental conditions, human-induced climate change introduces uncertainties about future atmospheric conditions, potentially </w:t>
      </w:r>
      <w:r w:rsidR="00A804EB" w:rsidRPr="00A804EB">
        <w:rPr>
          <w:rFonts w:cstheme="majorBidi"/>
          <w:szCs w:val="24"/>
        </w:rPr>
        <w:t>accelerating deterioration or causing premature failure</w:t>
      </w:r>
      <w:r w:rsidRPr="005309B0">
        <w:rPr>
          <w:rFonts w:cstheme="majorBidi"/>
          <w:szCs w:val="24"/>
        </w:rPr>
        <w:t xml:space="preserve">. Current climate models suggest that many transportation-related impacts of climate change will </w:t>
      </w:r>
      <w:r w:rsidR="00A804EB">
        <w:rPr>
          <w:rFonts w:cstheme="majorBidi"/>
          <w:szCs w:val="24"/>
        </w:rPr>
        <w:t>emerge</w:t>
      </w:r>
      <w:r w:rsidRPr="005309B0">
        <w:rPr>
          <w:rFonts w:cstheme="majorBidi"/>
          <w:szCs w:val="24"/>
        </w:rPr>
        <w:t xml:space="preserve"> gradually over time</w:t>
      </w:r>
      <w:r w:rsidR="00172579" w:rsidRPr="007A6B36">
        <w:rPr>
          <w:rFonts w:cstheme="majorBidi"/>
          <w:szCs w:val="24"/>
        </w:rPr>
        <w:fldChar w:fldCharType="begin" w:fldLock="1"/>
      </w:r>
      <w:r w:rsidR="00652E87">
        <w:rPr>
          <w:rFonts w:cstheme="majorBidi"/>
          <w:szCs w:val="24"/>
        </w:rPr>
        <w:instrText>ADDIN CSL_CITATION {"citationItems":[{"id":"ITEM-1","itemData":{"author":[{"dropping-particle":"","family":"Mills","given":"Brian","non-dropping-particle":"","parse-names":false,"suffix":""},{"dropping-particle":"","family":"Andrey","given":"Jean","non-dropping-particle":"","parse-names":false,"suffix":""}],"container-title":"The potential impacts of climate change on transportation","id":"ITEM-1","issued":{"date-parts":[["2002"]]},"publisher":"United States Environmental Protection Agency Washington, DC, USA","title":"Climate change and transportation: potential interactions and impacts","type":"chapter","volume":"77"},"uris":["http://www.mendeley.com/documents/?uuid=1baecd70-f4c3-483d-a1d1-85c6aedcd214"]}],"mendeley":{"formattedCitation":"&lt;sup&gt;15&lt;/sup&gt;","plainTextFormattedCitation":"15","previouslyFormattedCitation":"&lt;sup&gt;15&lt;/sup&gt;"},"properties":{"noteIndex":0},"schema":"https://github.com/citation-style-language/schema/raw/master/csl-citation.json"}</w:instrText>
      </w:r>
      <w:r w:rsidR="00172579" w:rsidRPr="007A6B36">
        <w:rPr>
          <w:rFonts w:cstheme="majorBidi"/>
          <w:szCs w:val="24"/>
        </w:rPr>
        <w:fldChar w:fldCharType="separate"/>
      </w:r>
      <w:r w:rsidRPr="005309B0">
        <w:rPr>
          <w:rFonts w:cstheme="majorBidi"/>
          <w:noProof/>
          <w:szCs w:val="24"/>
          <w:vertAlign w:val="superscript"/>
        </w:rPr>
        <w:t>15</w:t>
      </w:r>
      <w:r w:rsidR="00172579" w:rsidRPr="007A6B36">
        <w:rPr>
          <w:rFonts w:cstheme="majorBidi"/>
          <w:szCs w:val="24"/>
        </w:rPr>
        <w:fldChar w:fldCharType="end"/>
      </w:r>
      <w:r w:rsidR="00186043" w:rsidRPr="007A6B36">
        <w:rPr>
          <w:rFonts w:cstheme="majorBidi"/>
          <w:szCs w:val="24"/>
        </w:rPr>
        <w:t xml:space="preserve">. </w:t>
      </w:r>
      <w:r w:rsidR="00E713C2" w:rsidRPr="00E713C2">
        <w:rPr>
          <w:rFonts w:cstheme="majorBidi"/>
          <w:szCs w:val="24"/>
        </w:rPr>
        <w:t xml:space="preserve">Many pavement systems undergo major rehabilitation or reconstruction over timescales of decades, creating opportunities to incorporate updated climatic inputs and more resilient designs during normal renewal </w:t>
      </w:r>
      <w:r w:rsidR="00E713C2">
        <w:rPr>
          <w:rFonts w:cstheme="majorBidi"/>
          <w:szCs w:val="24"/>
        </w:rPr>
        <w:t xml:space="preserve"> cycles</w:t>
      </w:r>
      <w:r w:rsidR="00186043" w:rsidRPr="007A6B36">
        <w:rPr>
          <w:rFonts w:cstheme="majorBidi"/>
          <w:szCs w:val="24"/>
        </w:rPr>
        <w:fldChar w:fldCharType="begin" w:fldLock="1"/>
      </w:r>
      <w:r w:rsidR="00652E87">
        <w:rPr>
          <w:rFonts w:cstheme="majorBidi"/>
          <w:szCs w:val="24"/>
        </w:rPr>
        <w:instrText>ADDIN CSL_CITATION {"citationItems":[{"id":"ITEM-1","itemData":{"author":[{"dropping-particle":"","family":"Mills","given":"Brian","non-dropping-particle":"","parse-names":false,"suffix":""},{"dropping-particle":"","family":"Andrey","given":"Jean","non-dropping-particle":"","parse-names":false,"suffix":""}],"container-title":"The potential impacts of climate change on transportation","id":"ITEM-1","issued":{"date-parts":[["2002"]]},"publisher":"United States Environmental Protection Agency Washington, DC, USA","title":"Climate change and transportation: potential interactions and impacts","type":"chapter","volume":"77"},"uris":["http://www.mendeley.com/documents/?uuid=1baecd70-f4c3-483d-a1d1-85c6aedcd214"]}],"mendeley":{"formattedCitation":"&lt;sup&gt;15&lt;/sup&gt;","plainTextFormattedCitation":"15","previouslyFormattedCitation":"&lt;sup&gt;15&lt;/sup&gt;"},"properties":{"noteIndex":0},"schema":"https://github.com/citation-style-language/schema/raw/master/csl-citation.json"}</w:instrText>
      </w:r>
      <w:r w:rsidR="00186043" w:rsidRPr="007A6B36">
        <w:rPr>
          <w:rFonts w:cstheme="majorBidi"/>
          <w:szCs w:val="24"/>
        </w:rPr>
        <w:fldChar w:fldCharType="separate"/>
      </w:r>
      <w:r w:rsidRPr="005309B0">
        <w:rPr>
          <w:rFonts w:cstheme="majorBidi"/>
          <w:noProof/>
          <w:szCs w:val="24"/>
          <w:vertAlign w:val="superscript"/>
        </w:rPr>
        <w:t>15</w:t>
      </w:r>
      <w:r w:rsidR="00186043" w:rsidRPr="007A6B36">
        <w:rPr>
          <w:rFonts w:cstheme="majorBidi"/>
          <w:szCs w:val="24"/>
        </w:rPr>
        <w:fldChar w:fldCharType="end"/>
      </w:r>
      <w:r w:rsidR="00186043" w:rsidRPr="007A6B36">
        <w:rPr>
          <w:rFonts w:cstheme="majorBidi"/>
          <w:szCs w:val="24"/>
        </w:rPr>
        <w:t>.</w:t>
      </w:r>
    </w:p>
    <w:p w14:paraId="4D8F67AD" w14:textId="27E461F3" w:rsidR="00A804EB" w:rsidRDefault="005309B0" w:rsidP="000D4A0A">
      <w:pPr>
        <w:spacing w:line="240" w:lineRule="auto"/>
        <w:rPr>
          <w:rFonts w:cstheme="majorBidi"/>
          <w:szCs w:val="24"/>
        </w:rPr>
      </w:pPr>
      <w:r w:rsidRPr="005309B0">
        <w:rPr>
          <w:rFonts w:cstheme="majorBidi"/>
          <w:szCs w:val="24"/>
        </w:rPr>
        <w:t xml:space="preserve">This perspective </w:t>
      </w:r>
      <w:r w:rsidR="00E713C2">
        <w:t xml:space="preserve">synthesizes </w:t>
      </w:r>
      <w:r w:rsidRPr="005309B0">
        <w:rPr>
          <w:rFonts w:cstheme="majorBidi"/>
          <w:szCs w:val="24"/>
        </w:rPr>
        <w:t xml:space="preserve">the effects of extreme events on roadway infrastructure, supported by numerical analysis results, and demonstrates </w:t>
      </w:r>
      <w:r w:rsidR="00A804EB">
        <w:rPr>
          <w:rFonts w:cstheme="majorBidi"/>
          <w:szCs w:val="24"/>
        </w:rPr>
        <w:t xml:space="preserve">how </w:t>
      </w:r>
      <w:r w:rsidR="00A804EB" w:rsidRPr="00A804EB">
        <w:rPr>
          <w:rFonts w:cstheme="majorBidi"/>
          <w:szCs w:val="24"/>
        </w:rPr>
        <w:t>strategic mitigation approaches can reduce these impacts in an uncertain climate future</w:t>
      </w:r>
      <w:r w:rsidRPr="005309B0">
        <w:rPr>
          <w:rFonts w:cstheme="majorBidi"/>
          <w:szCs w:val="24"/>
        </w:rPr>
        <w:t xml:space="preserve">. As climate change accelerates, transportation infrastructure must </w:t>
      </w:r>
      <w:r w:rsidR="00A804EB">
        <w:rPr>
          <w:rFonts w:cstheme="majorBidi"/>
          <w:szCs w:val="24"/>
        </w:rPr>
        <w:t>endure</w:t>
      </w:r>
      <w:r w:rsidRPr="005309B0">
        <w:rPr>
          <w:rFonts w:cstheme="majorBidi"/>
          <w:szCs w:val="24"/>
        </w:rPr>
        <w:t xml:space="preserve"> frequent and severe weather events</w:t>
      </w:r>
      <w:r w:rsidR="00A804EB" w:rsidRPr="00A804EB">
        <w:rPr>
          <w:rFonts w:cstheme="majorBidi"/>
          <w:szCs w:val="24"/>
        </w:rPr>
        <w:t xml:space="preserve">. Among the most immediate threats are storms and hurricanes, which bring heavy precipitation, flooding, storm surges, and intense heat waves. These phenomena directly compromise the structural integrity and durability of pavements, </w:t>
      </w:r>
      <w:r w:rsidR="00AC1D39" w:rsidRPr="00A804EB">
        <w:rPr>
          <w:rFonts w:cstheme="majorBidi"/>
          <w:szCs w:val="24"/>
        </w:rPr>
        <w:t>mostly</w:t>
      </w:r>
      <w:r w:rsidR="00A804EB" w:rsidRPr="00A804EB">
        <w:rPr>
          <w:rFonts w:cstheme="majorBidi"/>
          <w:szCs w:val="24"/>
        </w:rPr>
        <w:t xml:space="preserve"> in coastal, flood-prone, and fire-prone regions. The following section explores the impacts of these extreme events on road infrastructure, focusing on how floodwaters and erosion weaken pavement sublayers and undermine stability, followed by an analysis of proposed mitigation strategies.</w:t>
      </w:r>
    </w:p>
    <w:p w14:paraId="2186EB0C" w14:textId="21BC710B" w:rsidR="00F62300" w:rsidRDefault="00F62300" w:rsidP="000D4A0A">
      <w:pPr>
        <w:spacing w:line="240" w:lineRule="auto"/>
      </w:pPr>
      <w:r w:rsidRPr="00F62300">
        <w:rPr>
          <w:bCs/>
        </w:rPr>
        <w:t>Scope and limitations of the numerical examples</w:t>
      </w:r>
      <w:r>
        <w:rPr>
          <w:bCs/>
        </w:rPr>
        <w:t>:</w:t>
      </w:r>
      <w:r w:rsidRPr="00F62300">
        <w:rPr>
          <w:bCs/>
        </w:rPr>
        <w:t xml:space="preserve"> </w:t>
      </w:r>
      <w:r w:rsidRPr="00F62300">
        <w:rPr>
          <w:bCs/>
        </w:rPr>
        <w:t>t</w:t>
      </w:r>
      <w:r w:rsidRPr="00F62300">
        <w:rPr>
          <w:bCs/>
        </w:rPr>
        <w:t>he</w:t>
      </w:r>
      <w:r>
        <w:t xml:space="preserve"> calculations presented below are screening-level illustrations. Their outputs depend on assumed material properties, boundary conditions, empirical relationships, and event data and have not been calibrated against field measurements for the specific pavement systems considered. Accordingly, the numerical values should not be interpreted as design thresholds or as validated predictions of field performance.</w:t>
      </w:r>
    </w:p>
    <w:p w14:paraId="5E666FA2" w14:textId="155BAD99" w:rsidR="000F426F" w:rsidRDefault="000F426F" w:rsidP="000D4A0A">
      <w:pPr>
        <w:pStyle w:val="Heading1"/>
        <w:spacing w:line="240" w:lineRule="auto"/>
      </w:pPr>
      <w:r w:rsidRPr="007A6B36">
        <w:t xml:space="preserve">Challenge </w:t>
      </w:r>
      <w:r>
        <w:t>1</w:t>
      </w:r>
      <w:r w:rsidRPr="007A6B36">
        <w:t>: Pavement Structural Integrity</w:t>
      </w:r>
      <w:r>
        <w:t xml:space="preserve"> and </w:t>
      </w:r>
      <w:r w:rsidRPr="007A6B36">
        <w:t>Durability</w:t>
      </w:r>
      <w:r>
        <w:t xml:space="preserve"> Under </w:t>
      </w:r>
      <w:r w:rsidR="00F62300" w:rsidRPr="00F62300">
        <w:t>Flooding and Tropical Cyclones</w:t>
      </w:r>
    </w:p>
    <w:p w14:paraId="1AD5896C" w14:textId="77777777" w:rsidR="000F426F" w:rsidRPr="00962406" w:rsidRDefault="000F426F" w:rsidP="000D4A0A">
      <w:pPr>
        <w:pStyle w:val="Heading2"/>
        <w:spacing w:line="240" w:lineRule="auto"/>
      </w:pPr>
      <w:r>
        <w:t>Assessment</w:t>
      </w:r>
    </w:p>
    <w:p w14:paraId="58846DBA" w14:textId="215B7DE5" w:rsidR="00582D1D" w:rsidRDefault="000F426F" w:rsidP="000D4A0A">
      <w:pPr>
        <w:spacing w:line="240" w:lineRule="auto"/>
        <w:rPr>
          <w:rFonts w:cstheme="majorBidi"/>
          <w:szCs w:val="24"/>
        </w:rPr>
      </w:pPr>
      <w:r w:rsidRPr="00763BA3">
        <w:rPr>
          <w:rFonts w:cstheme="majorBidi"/>
          <w:szCs w:val="24"/>
        </w:rPr>
        <w:t>Heavy precipitation</w:t>
      </w:r>
      <w:r w:rsidR="00F62300">
        <w:rPr>
          <w:rFonts w:cstheme="majorBidi"/>
          <w:szCs w:val="24"/>
        </w:rPr>
        <w:t>,</w:t>
      </w:r>
      <w:r w:rsidRPr="00763BA3">
        <w:rPr>
          <w:rFonts w:cstheme="majorBidi"/>
          <w:szCs w:val="24"/>
        </w:rPr>
        <w:t xml:space="preserve"> storm surges</w:t>
      </w:r>
      <w:r w:rsidR="00F62300">
        <w:rPr>
          <w:rFonts w:cstheme="majorBidi"/>
          <w:szCs w:val="24"/>
        </w:rPr>
        <w:t xml:space="preserve">, and prolonged inundation can compromise both </w:t>
      </w:r>
      <w:r w:rsidRPr="00763BA3">
        <w:rPr>
          <w:rFonts w:cstheme="majorBidi"/>
          <w:szCs w:val="24"/>
        </w:rPr>
        <w:t>the stability and functionality of pavement s</w:t>
      </w:r>
      <w:r w:rsidR="00F62300">
        <w:rPr>
          <w:rFonts w:cstheme="majorBidi"/>
          <w:szCs w:val="24"/>
        </w:rPr>
        <w:t>ystems</w:t>
      </w:r>
      <w:r>
        <w:rPr>
          <w:rFonts w:cstheme="majorBidi"/>
          <w:szCs w:val="24"/>
        </w:rPr>
        <w:fldChar w:fldCharType="begin" w:fldLock="1"/>
      </w:r>
      <w:r w:rsidR="00652E87">
        <w:rPr>
          <w:rFonts w:cstheme="majorBidi"/>
          <w:szCs w:val="24"/>
        </w:rPr>
        <w:instrText>ADDIN CSL_CITATION {"citationItems":[{"id":"ITEM-1","itemData":{"ISSN":"0028-0836","author":[{"dropping-particle":"","family":"Gaines","given":"James M","non-dropping-particle":"","parse-names":false,"suffix":""}],"container-title":"Nature","id":"ITEM-1","issue":"7594","issued":{"date-parts":[["2016"]]},"page":"S54-S55","publisher":"Nature Publishing Group UK London","title":"Flooding: water potential","type":"article-journal","volume":"531"},"uris":["http://www.mendeley.com/documents/?uuid=63f2a62b-c3f6-43c3-aff9-c37dc386c02e"]}],"mendeley":{"formattedCitation":"&lt;sup&gt;16&lt;/sup&gt;","plainTextFormattedCitation":"16","previouslyFormattedCitation":"&lt;sup&gt;16&lt;/sup&gt;"},"properties":{"noteIndex":0},"schema":"https://github.com/citation-style-language/schema/raw/master/csl-citation.json"}</w:instrText>
      </w:r>
      <w:r>
        <w:rPr>
          <w:rFonts w:cstheme="majorBidi"/>
          <w:szCs w:val="24"/>
        </w:rPr>
        <w:fldChar w:fldCharType="separate"/>
      </w:r>
      <w:r w:rsidR="005309B0" w:rsidRPr="005309B0">
        <w:rPr>
          <w:rFonts w:cstheme="majorBidi"/>
          <w:noProof/>
          <w:szCs w:val="24"/>
          <w:vertAlign w:val="superscript"/>
        </w:rPr>
        <w:t>16</w:t>
      </w:r>
      <w:r>
        <w:rPr>
          <w:rFonts w:cstheme="majorBidi"/>
          <w:szCs w:val="24"/>
        </w:rPr>
        <w:fldChar w:fldCharType="end"/>
      </w:r>
      <w:r w:rsidRPr="00763BA3">
        <w:rPr>
          <w:rFonts w:cstheme="majorBidi"/>
          <w:szCs w:val="24"/>
        </w:rPr>
        <w:t xml:space="preserve">. </w:t>
      </w:r>
      <w:r w:rsidR="00F62300" w:rsidRPr="00F62300">
        <w:rPr>
          <w:rFonts w:cstheme="majorBidi"/>
          <w:szCs w:val="24"/>
        </w:rPr>
        <w:t xml:space="preserve">These hazards may render roads impassable, erode shoulders and embankments, saturate unbound layers, and prolong closures. Tropical cyclones </w:t>
      </w:r>
      <w:r w:rsidR="00F62300" w:rsidRPr="00F62300">
        <w:rPr>
          <w:rFonts w:cstheme="majorBidi"/>
          <w:szCs w:val="24"/>
        </w:rPr>
        <w:lastRenderedPageBreak/>
        <w:t>intensify this vulnerability through the combined effects of rainfall, surge, debris, slope instability, and erosion</w:t>
      </w:r>
      <w:r w:rsidR="00582D1D" w:rsidRPr="00582D1D">
        <w:rPr>
          <w:rFonts w:cstheme="majorBidi"/>
          <w:szCs w:val="24"/>
        </w:rPr>
        <w:t>.</w:t>
      </w:r>
    </w:p>
    <w:p w14:paraId="0D05B979" w14:textId="12BB5EDE" w:rsidR="000F426F" w:rsidRPr="007A6B36" w:rsidRDefault="00F62300" w:rsidP="000D4A0A">
      <w:pPr>
        <w:spacing w:line="240" w:lineRule="auto"/>
        <w:rPr>
          <w:rFonts w:cstheme="majorBidi"/>
          <w:szCs w:val="24"/>
        </w:rPr>
      </w:pPr>
      <w:r>
        <w:rPr>
          <w:rFonts w:cstheme="majorBidi"/>
          <w:szCs w:val="24"/>
        </w:rPr>
        <w:t>S</w:t>
      </w:r>
      <w:r w:rsidR="000F426F" w:rsidRPr="007A6B36">
        <w:rPr>
          <w:rFonts w:cstheme="majorBidi"/>
          <w:szCs w:val="24"/>
        </w:rPr>
        <w:t xml:space="preserve">tatistical models have </w:t>
      </w:r>
      <w:r w:rsidRPr="00F62300">
        <w:rPr>
          <w:rFonts w:cstheme="majorBidi"/>
          <w:szCs w:val="24"/>
        </w:rPr>
        <w:t>been used to estimate pavement deterioration and time to failure under hurricane hazard</w:t>
      </w:r>
      <w:r w:rsidR="000F426F" w:rsidRPr="007A6B36">
        <w:rPr>
          <w:rFonts w:cstheme="majorBidi"/>
          <w:szCs w:val="24"/>
        </w:rPr>
        <w:t xml:space="preserve"> scenarios</w:t>
      </w:r>
      <w:r w:rsidR="00026D6F">
        <w:rPr>
          <w:rFonts w:cstheme="majorBidi"/>
          <w:szCs w:val="24"/>
        </w:rPr>
        <w:t xml:space="preserve"> </w:t>
      </w:r>
      <w:r w:rsidR="00026D6F">
        <w:rPr>
          <w:rFonts w:cstheme="majorBidi"/>
          <w:szCs w:val="24"/>
        </w:rPr>
        <w:fldChar w:fldCharType="begin" w:fldLock="1"/>
      </w:r>
      <w:r w:rsidR="00F91554">
        <w:rPr>
          <w:rFonts w:cstheme="majorBidi"/>
          <w:szCs w:val="24"/>
        </w:rPr>
        <w:instrText>ADDIN CSL_CITATION {"citationItems":[{"id":"ITEM-1","itemData":{"ISSN":"0361-1981","author":[{"dropping-particle":"","family":"Inkoom","given":"Sylvester","non-dropping-particle":"","parse-names":false,"suffix":""},{"dropping-particle":"","family":"Sobanjo","given":"John O","non-dropping-particle":"","parse-names":false,"suffix":""},{"dropping-particle":"","family":"Chicken","given":"Eric","non-dropping-particle":"","parse-names":false,"suffix":""},{"dropping-particle":"","family":"Sinha","given":"Debajyoti","non-dropping-particle":"","parse-names":false,"suffix":""},{"dropping-particle":"","family":"Niu","given":"Xufeng","non-dropping-particle":"","parse-names":false,"suffix":""}],"container-title":"Transportation Research Record","id":"ITEM-1","issue":"6","issued":{"date-parts":[["2020"]]},"page":"310-325","publisher":"SAGE Publications Sage CA: Los Angeles, CA","title":"Assessment of deterioration of highway pavement using Bayesian survival model","type":"article-journal","volume":"2674"},"uris":["http://www.mendeley.com/documents/?uuid=9035b0e1-d288-4e0f-995b-676eca3faeb1"]},{"id":"ITEM-2","itemData":{"ISSN":"1361-9209","author":[{"dropping-particle":"","family":"Chen","given":"Xiao","non-dropping-particle":"","parse-names":false,"suffix":""},{"dropping-particle":"","family":"Wang","given":"Hao","non-dropping-particle":"","parse-names":false,"suffix":""}],"container-title":"Transportation Research Part D: Transport and Environment","id":"ITEM-2","issued":{"date-parts":[["2025"]]},"page":"104946","publisher":"Elsevier","title":"Enhancement of roadway pavement resilience to flooding: impact assessment and mitigation strategies","type":"article-journal"},"uris":["http://www.mendeley.com/documents/?uuid=8d51bd5f-db69-4ca6-9295-3130a1e39b4f"]}],"mendeley":{"formattedCitation":"&lt;sup&gt;17,18&lt;/sup&gt;","plainTextFormattedCitation":"17,18","previouslyFormattedCitation":"&lt;sup&gt;17,18&lt;/sup&gt;"},"properties":{"noteIndex":0},"schema":"https://github.com/citation-style-language/schema/raw/master/csl-citation.json"}</w:instrText>
      </w:r>
      <w:r w:rsidR="00026D6F">
        <w:rPr>
          <w:rFonts w:cstheme="majorBidi"/>
          <w:szCs w:val="24"/>
        </w:rPr>
        <w:fldChar w:fldCharType="separate"/>
      </w:r>
      <w:r w:rsidR="00026D6F" w:rsidRPr="00026D6F">
        <w:rPr>
          <w:rFonts w:cstheme="majorBidi"/>
          <w:noProof/>
          <w:szCs w:val="24"/>
          <w:vertAlign w:val="superscript"/>
        </w:rPr>
        <w:t>17,18</w:t>
      </w:r>
      <w:r w:rsidR="00026D6F">
        <w:rPr>
          <w:rFonts w:cstheme="majorBidi"/>
          <w:szCs w:val="24"/>
        </w:rPr>
        <w:fldChar w:fldCharType="end"/>
      </w:r>
      <w:r w:rsidR="000F426F" w:rsidRPr="007A6B36">
        <w:rPr>
          <w:rFonts w:cstheme="majorBidi"/>
          <w:szCs w:val="24"/>
        </w:rPr>
        <w:t xml:space="preserve">. </w:t>
      </w:r>
      <w:proofErr w:type="spellStart"/>
      <w:r w:rsidR="000F426F" w:rsidRPr="007A6B36">
        <w:rPr>
          <w:rFonts w:cstheme="majorBidi"/>
          <w:szCs w:val="24"/>
        </w:rPr>
        <w:t>Inkoom</w:t>
      </w:r>
      <w:proofErr w:type="spellEnd"/>
      <w:r w:rsidR="000F426F" w:rsidRPr="007A6B36">
        <w:rPr>
          <w:rFonts w:cstheme="majorBidi"/>
          <w:szCs w:val="24"/>
        </w:rPr>
        <w:t xml:space="preserve"> et al.</w:t>
      </w:r>
      <w:r w:rsidR="000F426F" w:rsidRPr="007A6B36">
        <w:rPr>
          <w:rFonts w:cstheme="majorBidi"/>
          <w:szCs w:val="24"/>
        </w:rPr>
        <w:fldChar w:fldCharType="begin" w:fldLock="1"/>
      </w:r>
      <w:r w:rsidR="00026D6F">
        <w:rPr>
          <w:rFonts w:cstheme="majorBidi"/>
          <w:szCs w:val="24"/>
        </w:rPr>
        <w:instrText>ADDIN CSL_CITATION {"citationItems":[{"id":"ITEM-1","itemData":{"ISSN":"1573-2479","author":[{"dropping-particle":"","family":"Inkoom","given":"Sylvester","non-dropping-particle":"","parse-names":false,"suffix":""},{"dropping-particle":"","family":"Sobanjo","given":"John O","non-dropping-particle":"","parse-names":false,"suffix":""}],"container-title":"Structure and Infrastructure Engineering","id":"ITEM-1","issue":"6","issued":{"date-parts":[["2019"]]},"page":"837-850","publisher":"Taylor &amp; Francis","title":"Competing risks models for the deterioration of highway pavement subject to hurricane events","type":"article-journal","volume":"15"},"uris":["http://www.mendeley.com/documents/?uuid=26242ea7-3dd9-4744-b042-f8e47e475e30"]}],"mendeley":{"formattedCitation":"&lt;sup&gt;19&lt;/sup&gt;","plainTextFormattedCitation":"19","previouslyFormattedCitation":"&lt;sup&gt;19&lt;/sup&gt;"},"properties":{"noteIndex":0},"schema":"https://github.com/citation-style-language/schema/raw/master/csl-citation.json"}</w:instrText>
      </w:r>
      <w:r w:rsidR="000F426F" w:rsidRPr="007A6B36">
        <w:rPr>
          <w:rFonts w:cstheme="majorBidi"/>
          <w:szCs w:val="24"/>
        </w:rPr>
        <w:fldChar w:fldCharType="separate"/>
      </w:r>
      <w:r w:rsidR="00026D6F" w:rsidRPr="00026D6F">
        <w:rPr>
          <w:rFonts w:cstheme="majorBidi"/>
          <w:noProof/>
          <w:szCs w:val="24"/>
          <w:vertAlign w:val="superscript"/>
        </w:rPr>
        <w:t>19</w:t>
      </w:r>
      <w:r w:rsidR="000F426F" w:rsidRPr="007A6B36">
        <w:rPr>
          <w:rFonts w:cstheme="majorBidi"/>
          <w:szCs w:val="24"/>
        </w:rPr>
        <w:fldChar w:fldCharType="end"/>
      </w:r>
      <w:r w:rsidR="000F426F" w:rsidRPr="007A6B36">
        <w:rPr>
          <w:rFonts w:cstheme="majorBidi"/>
          <w:szCs w:val="24"/>
        </w:rPr>
        <w:t xml:space="preserve"> </w:t>
      </w:r>
      <w:r w:rsidR="006F5D92">
        <w:rPr>
          <w:rFonts w:cstheme="majorBidi"/>
          <w:szCs w:val="24"/>
        </w:rPr>
        <w:t xml:space="preserve">used </w:t>
      </w:r>
      <w:r w:rsidR="000F426F" w:rsidRPr="007A6B36">
        <w:rPr>
          <w:rFonts w:cstheme="majorBidi"/>
          <w:szCs w:val="24"/>
        </w:rPr>
        <w:t>competing</w:t>
      </w:r>
      <w:r>
        <w:rPr>
          <w:rFonts w:cstheme="majorBidi"/>
          <w:szCs w:val="24"/>
        </w:rPr>
        <w:t>-</w:t>
      </w:r>
      <w:r w:rsidR="000F426F" w:rsidRPr="007A6B36">
        <w:rPr>
          <w:rFonts w:cstheme="majorBidi"/>
          <w:szCs w:val="24"/>
        </w:rPr>
        <w:t>risk theory to analyze the effects of Hurricane Categories 1, 2, and 3 on pavement survival probabilities. Their findings indicate that Category 3 hurricanes significantly elevate the hazard ratios for pavement failure across both coastal and non-coastal areas, affecting all roadway types, including urban and rural interstates and non-interstates. The high hazard ratios associated with Category 3 events suggest a substantial increase in the likelihood of pavement failure due to the combined effects of intense wind forces, heavy rainfall, and storm surges</w:t>
      </w:r>
      <w:r w:rsidR="006F5D92">
        <w:rPr>
          <w:rFonts w:cstheme="majorBidi"/>
          <w:szCs w:val="24"/>
        </w:rPr>
        <w:t xml:space="preserve"> </w:t>
      </w:r>
      <w:r w:rsidR="000F426F">
        <w:rPr>
          <w:rFonts w:cstheme="majorBidi"/>
          <w:szCs w:val="24"/>
        </w:rPr>
        <w:fldChar w:fldCharType="begin" w:fldLock="1"/>
      </w:r>
      <w:r w:rsidR="00026D6F">
        <w:rPr>
          <w:rFonts w:cstheme="majorBidi"/>
          <w:szCs w:val="24"/>
        </w:rPr>
        <w:instrText>ADDIN CSL_CITATION {"citationItems":[{"id":"ITEM-1","itemData":{"ISSN":"1573-2479","author":[{"dropping-particle":"","family":"Inkoom","given":"Sylvester","non-dropping-particle":"","parse-names":false,"suffix":""},{"dropping-particle":"","family":"Sobanjo","given":"John O","non-dropping-particle":"","parse-names":false,"suffix":""}],"container-title":"Structure and Infrastructure Engineering","id":"ITEM-1","issue":"6","issued":{"date-parts":[["2019"]]},"page":"837-850","publisher":"Taylor &amp; Francis","title":"Competing risks models for the deterioration of highway pavement subject to hurricane events","type":"article-journal","volume":"15"},"uris":["http://www.mendeley.com/documents/?uuid=26242ea7-3dd9-4744-b042-f8e47e475e30"]},{"id":"ITEM-2","itemData":{"author":[{"dropping-particle":"","family":"Chen","given":"Xingwei","non-dropping-particle":"","parse-names":false,"suffix":""},{"dropping-particle":"","family":"Zhang","given":"Zhongjie","non-dropping-particle":"","parse-names":false,"suffix":""}],"container-title":"Pavement materials, structures, and performance","id":"ITEM-2","issued":{"date-parts":[["2014"]]},"page":"212-221","title":"Effects of Hurricanes Katrina and Rita flooding on Louisiana pavement performance","type":"chapter"},"uris":["http://www.mendeley.com/documents/?uuid=67feab7a-556e-4b9a-9951-b318e76d3cf1"]}],"mendeley":{"formattedCitation":"&lt;sup&gt;19,20&lt;/sup&gt;","plainTextFormattedCitation":"19,20","previouslyFormattedCitation":"&lt;sup&gt;19,20&lt;/sup&gt;"},"properties":{"noteIndex":0},"schema":"https://github.com/citation-style-language/schema/raw/master/csl-citation.json"}</w:instrText>
      </w:r>
      <w:r w:rsidR="000F426F">
        <w:rPr>
          <w:rFonts w:cstheme="majorBidi"/>
          <w:szCs w:val="24"/>
        </w:rPr>
        <w:fldChar w:fldCharType="separate"/>
      </w:r>
      <w:r w:rsidR="00026D6F" w:rsidRPr="00026D6F">
        <w:rPr>
          <w:rFonts w:cstheme="majorBidi"/>
          <w:noProof/>
          <w:szCs w:val="24"/>
          <w:vertAlign w:val="superscript"/>
        </w:rPr>
        <w:t>19,20</w:t>
      </w:r>
      <w:r w:rsidR="000F426F">
        <w:rPr>
          <w:rFonts w:cstheme="majorBidi"/>
          <w:szCs w:val="24"/>
        </w:rPr>
        <w:fldChar w:fldCharType="end"/>
      </w:r>
      <w:r w:rsidR="000F426F" w:rsidRPr="007A6B36">
        <w:rPr>
          <w:rFonts w:cstheme="majorBidi"/>
          <w:szCs w:val="24"/>
        </w:rPr>
        <w:t>.</w:t>
      </w:r>
    </w:p>
    <w:p w14:paraId="513BA6B4" w14:textId="275F8FB1" w:rsidR="00652E87" w:rsidRPr="00330D93" w:rsidRDefault="00F62300" w:rsidP="000D4A0A">
      <w:pPr>
        <w:spacing w:line="240" w:lineRule="auto"/>
        <w:rPr>
          <w:rFonts w:cstheme="majorBidi"/>
          <w:szCs w:val="24"/>
        </w:rPr>
      </w:pPr>
      <w:r w:rsidRPr="00F62300">
        <w:rPr>
          <w:rFonts w:cstheme="majorBidi"/>
          <w:szCs w:val="24"/>
        </w:rPr>
        <w:t xml:space="preserve">Hurricane Helenee in September 2024 caused </w:t>
      </w:r>
      <w:r>
        <w:rPr>
          <w:rFonts w:cstheme="majorBidi"/>
          <w:szCs w:val="24"/>
        </w:rPr>
        <w:t>a considerable</w:t>
      </w:r>
      <w:r w:rsidRPr="00F62300">
        <w:rPr>
          <w:rFonts w:cstheme="majorBidi"/>
          <w:szCs w:val="24"/>
        </w:rPr>
        <w:t xml:space="preserve"> transportation disruption in the southeastern United States</w:t>
      </w:r>
      <w:r w:rsidR="000F426F" w:rsidRPr="00763BA3">
        <w:rPr>
          <w:rFonts w:cstheme="majorBidi"/>
          <w:szCs w:val="24"/>
        </w:rPr>
        <w:t xml:space="preserve">. The North Carolina Department of Transportation (NCDOT) reported </w:t>
      </w:r>
      <w:r w:rsidR="006F5D92" w:rsidRPr="006F5D92">
        <w:rPr>
          <w:rFonts w:cstheme="majorBidi"/>
          <w:szCs w:val="24"/>
        </w:rPr>
        <w:t>widespread road closures due to flooding and subsequent maintenance, with approximately 207 miles of roads affected and an average closure duration of 1,680 hours per mile</w:t>
      </w:r>
      <w:r w:rsidR="000F426F" w:rsidRPr="00763BA3">
        <w:rPr>
          <w:rFonts w:cstheme="majorBidi"/>
          <w:szCs w:val="24"/>
        </w:rPr>
        <w:t xml:space="preserve">. Figure </w:t>
      </w:r>
      <w:r w:rsidR="004A753D">
        <w:rPr>
          <w:rFonts w:cstheme="majorBidi"/>
          <w:szCs w:val="24"/>
        </w:rPr>
        <w:t>1</w:t>
      </w:r>
      <w:r w:rsidR="000F426F" w:rsidRPr="00763BA3">
        <w:rPr>
          <w:rFonts w:cstheme="majorBidi"/>
          <w:szCs w:val="24"/>
        </w:rPr>
        <w:t xml:space="preserve"> illustrates the analyzed road closure events in North Carolina as of October 4, 2024, showing that most closures occurred on the west side of the state, with over 500 reported incidents. </w:t>
      </w:r>
      <w:r w:rsidR="006F5D92" w:rsidRPr="006F5D92">
        <w:rPr>
          <w:rFonts w:cstheme="majorBidi"/>
          <w:szCs w:val="24"/>
        </w:rPr>
        <w:t>The hurricane disrupted road systems serving more than 120 cities and towns, impacting a residential population exceeding 2.3 million people</w:t>
      </w:r>
      <w:r w:rsidR="004A753D">
        <w:rPr>
          <w:rFonts w:cstheme="majorBidi"/>
          <w:szCs w:val="24"/>
        </w:rPr>
        <w:t xml:space="preserve">. </w:t>
      </w:r>
      <w:r w:rsidR="000F426F" w:rsidRPr="00763BA3">
        <w:rPr>
          <w:rFonts w:cstheme="majorBidi"/>
          <w:szCs w:val="24"/>
        </w:rPr>
        <w:t>Further analysis revealed that 74</w:t>
      </w:r>
      <w:r w:rsidR="00070422">
        <w:rPr>
          <w:rFonts w:cstheme="majorBidi"/>
          <w:szCs w:val="24"/>
        </w:rPr>
        <w:t xml:space="preserve"> percent</w:t>
      </w:r>
      <w:r w:rsidR="000F426F" w:rsidRPr="00763BA3">
        <w:rPr>
          <w:rFonts w:cstheme="majorBidi"/>
          <w:szCs w:val="24"/>
        </w:rPr>
        <w:t xml:space="preserve"> of the impassable roads were classified as high-severity damage. Interestingly, despite the high severity classification, maintenance time per mile for these roads </w:t>
      </w:r>
      <w:r w:rsidR="00652E87">
        <w:rPr>
          <w:rFonts w:cstheme="majorBidi"/>
          <w:szCs w:val="24"/>
        </w:rPr>
        <w:t>is estimated to be</w:t>
      </w:r>
      <w:r w:rsidR="000F426F" w:rsidRPr="00763BA3">
        <w:rPr>
          <w:rFonts w:cstheme="majorBidi"/>
          <w:szCs w:val="24"/>
        </w:rPr>
        <w:t xml:space="preserve"> lower than for roads classified under medium or low severity.</w:t>
      </w:r>
      <w:r w:rsidR="00652E87" w:rsidRPr="00652E87">
        <w:rPr>
          <w:rFonts w:cstheme="majorBidi"/>
          <w:szCs w:val="24"/>
        </w:rPr>
        <w:t xml:space="preserve"> </w:t>
      </w:r>
      <w:r w:rsidR="00652E87" w:rsidRPr="00763BA3">
        <w:rPr>
          <w:rFonts w:cstheme="majorBidi"/>
          <w:szCs w:val="24"/>
        </w:rPr>
        <w:t>This difference may reflect the prioritization of critical state roads and US highways by NCDOT to ensure timely recovery for essential transportation routes.</w:t>
      </w:r>
      <w:r w:rsidR="004A753D">
        <w:rPr>
          <w:rFonts w:cstheme="majorBidi"/>
          <w:szCs w:val="24"/>
        </w:rPr>
        <w:t xml:space="preserve"> </w:t>
      </w:r>
    </w:p>
    <w:p w14:paraId="0210A0DD" w14:textId="77777777" w:rsidR="000F426F" w:rsidRDefault="000F426F" w:rsidP="000D4A0A">
      <w:pPr>
        <w:keepNext/>
        <w:spacing w:line="240" w:lineRule="auto"/>
      </w:pPr>
      <w:r>
        <w:rPr>
          <w:noProof/>
        </w:rPr>
        <w:drawing>
          <wp:inline distT="0" distB="0" distL="0" distR="0" wp14:anchorId="2A697F2E" wp14:editId="2C40D304">
            <wp:extent cx="5943600" cy="2811912"/>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b="15910"/>
                    <a:stretch/>
                  </pic:blipFill>
                  <pic:spPr bwMode="auto">
                    <a:xfrm>
                      <a:off x="0" y="0"/>
                      <a:ext cx="5943600" cy="2811912"/>
                    </a:xfrm>
                    <a:prstGeom prst="rect">
                      <a:avLst/>
                    </a:prstGeom>
                    <a:noFill/>
                    <a:ln>
                      <a:noFill/>
                    </a:ln>
                    <a:extLst>
                      <a:ext uri="{53640926-AAD7-44D8-BBD7-CCE9431645EC}">
                        <a14:shadowObscured xmlns:a14="http://schemas.microsoft.com/office/drawing/2010/main"/>
                      </a:ext>
                    </a:extLst>
                  </pic:spPr>
                </pic:pic>
              </a:graphicData>
            </a:graphic>
          </wp:inline>
        </w:drawing>
      </w:r>
    </w:p>
    <w:p w14:paraId="52F7F236" w14:textId="389881CC" w:rsidR="000F426F" w:rsidRDefault="000F426F" w:rsidP="000D4A0A">
      <w:pPr>
        <w:pStyle w:val="Caption"/>
        <w:jc w:val="center"/>
        <w:rPr>
          <w:rFonts w:cstheme="majorBidi"/>
          <w:szCs w:val="24"/>
        </w:rPr>
      </w:pPr>
      <w:r>
        <w:t xml:space="preserve">Figure </w:t>
      </w:r>
      <w:r w:rsidR="000D4A0A">
        <w:fldChar w:fldCharType="begin"/>
      </w:r>
      <w:r w:rsidR="000D4A0A">
        <w:instrText xml:space="preserve"> SEQ Figure \* ARABIC </w:instrText>
      </w:r>
      <w:r w:rsidR="000D4A0A">
        <w:fldChar w:fldCharType="separate"/>
      </w:r>
      <w:r w:rsidR="004A753D">
        <w:rPr>
          <w:noProof/>
        </w:rPr>
        <w:t>1</w:t>
      </w:r>
      <w:r w:rsidR="000D4A0A">
        <w:rPr>
          <w:noProof/>
        </w:rPr>
        <w:fldChar w:fldCharType="end"/>
      </w:r>
      <w:r>
        <w:t xml:space="preserve">. 2024 Hurricane Helene analysis on road closure incidents at North Carolina State as of 4 Oct, 2024. </w:t>
      </w:r>
    </w:p>
    <w:p w14:paraId="0D13D6BE" w14:textId="3BCF9378" w:rsidR="000F426F" w:rsidRDefault="000F426F" w:rsidP="000D4A0A">
      <w:pPr>
        <w:spacing w:line="240" w:lineRule="auto"/>
        <w:rPr>
          <w:rFonts w:cstheme="majorBidi"/>
          <w:szCs w:val="24"/>
        </w:rPr>
      </w:pPr>
      <w:r w:rsidRPr="00330D93">
        <w:rPr>
          <w:rFonts w:cstheme="majorBidi"/>
          <w:szCs w:val="24"/>
        </w:rPr>
        <w:t xml:space="preserve">Table 1 </w:t>
      </w:r>
      <w:r w:rsidR="00F62300" w:rsidRPr="00F62300">
        <w:rPr>
          <w:rFonts w:cstheme="majorBidi"/>
          <w:szCs w:val="24"/>
        </w:rPr>
        <w:t xml:space="preserve">groups the closure descriptions in the October 4 snapshot into qualitative screening categories. Flooding, erosion, washouts, landslides, debris, and sinkholes were common </w:t>
      </w:r>
      <w:r w:rsidR="00F62300" w:rsidRPr="00F62300">
        <w:rPr>
          <w:rFonts w:cstheme="majorBidi"/>
          <w:szCs w:val="24"/>
        </w:rPr>
        <w:lastRenderedPageBreak/>
        <w:t>descriptions among the more disruptive closures</w:t>
      </w:r>
      <w:r w:rsidRPr="00330D93">
        <w:rPr>
          <w:rFonts w:cstheme="majorBidi"/>
          <w:szCs w:val="24"/>
        </w:rPr>
        <w:t xml:space="preserve">. </w:t>
      </w:r>
      <w:r w:rsidR="00F62300" w:rsidRPr="00F62300">
        <w:rPr>
          <w:rFonts w:cstheme="majorBidi"/>
          <w:szCs w:val="24"/>
        </w:rPr>
        <w:t>Because these categories were assigned for this analysis, they should not be interpreted as official NCDOT damage-severity ratings</w:t>
      </w:r>
      <w:r>
        <w:rPr>
          <w:rFonts w:cstheme="majorBidi"/>
          <w:szCs w:val="24"/>
        </w:rPr>
        <w:t xml:space="preserve">. </w:t>
      </w:r>
    </w:p>
    <w:p w14:paraId="4D21E853" w14:textId="37E14D76" w:rsidR="000F426F" w:rsidRDefault="000F426F" w:rsidP="000D4A0A">
      <w:pPr>
        <w:pStyle w:val="Caption"/>
        <w:keepNext/>
        <w:jc w:val="center"/>
      </w:pPr>
      <w:r>
        <w:t xml:space="preserve">Table </w:t>
      </w:r>
      <w:r w:rsidR="000D4A0A">
        <w:fldChar w:fldCharType="begin"/>
      </w:r>
      <w:r w:rsidR="000D4A0A">
        <w:instrText xml:space="preserve"> SEQ Table \* ARABIC </w:instrText>
      </w:r>
      <w:r w:rsidR="000D4A0A">
        <w:fldChar w:fldCharType="separate"/>
      </w:r>
      <w:r>
        <w:rPr>
          <w:noProof/>
        </w:rPr>
        <w:t>1</w:t>
      </w:r>
      <w:r w:rsidR="000D4A0A">
        <w:rPr>
          <w:noProof/>
        </w:rPr>
        <w:fldChar w:fldCharType="end"/>
      </w:r>
      <w:r>
        <w:t xml:space="preserve">. </w:t>
      </w:r>
      <w:r w:rsidRPr="00F62300">
        <w:t xml:space="preserve">2024 </w:t>
      </w:r>
      <w:r w:rsidR="000D4A0A" w:rsidRPr="00F62300">
        <w:t>Hurricane Helene Road</w:t>
      </w:r>
      <w:r>
        <w:t xml:space="preserve"> c</w:t>
      </w:r>
      <w:r w:rsidRPr="00B47D61">
        <w:t xml:space="preserve">losure </w:t>
      </w:r>
      <w:r w:rsidR="004A753D">
        <w:t>r</w:t>
      </w:r>
      <w:r w:rsidRPr="00B47D61">
        <w:t xml:space="preserve">easons </w:t>
      </w:r>
      <w:r>
        <w:t>b</w:t>
      </w:r>
      <w:r w:rsidRPr="00B47D61">
        <w:t xml:space="preserve">y </w:t>
      </w:r>
      <w:r w:rsidR="004A753D">
        <w:t>s</w:t>
      </w:r>
      <w:r w:rsidRPr="00B47D61">
        <w:t>everity</w:t>
      </w:r>
      <w:r w:rsidR="00E54026">
        <w:t xml:space="preserve"> level</w:t>
      </w:r>
      <w:r w:rsidR="00F62300">
        <w:t xml:space="preserve"> grouped by the author</w:t>
      </w:r>
      <w:r w:rsidR="00E54026">
        <w:t>.</w:t>
      </w:r>
    </w:p>
    <w:tbl>
      <w:tblPr>
        <w:tblStyle w:val="TableGrid"/>
        <w:tblW w:w="0" w:type="auto"/>
        <w:tblLook w:val="04A0" w:firstRow="1" w:lastRow="0" w:firstColumn="1" w:lastColumn="0" w:noHBand="0" w:noVBand="1"/>
      </w:tblPr>
      <w:tblGrid>
        <w:gridCol w:w="3116"/>
        <w:gridCol w:w="3117"/>
        <w:gridCol w:w="3117"/>
      </w:tblGrid>
      <w:tr w:rsidR="000F426F" w14:paraId="671C2C8B" w14:textId="77777777" w:rsidTr="00EE5C99">
        <w:tc>
          <w:tcPr>
            <w:tcW w:w="9350" w:type="dxa"/>
            <w:gridSpan w:val="3"/>
          </w:tcPr>
          <w:p w14:paraId="28DAA5ED" w14:textId="77777777" w:rsidR="000F426F" w:rsidRPr="004A753D" w:rsidRDefault="000F426F" w:rsidP="000D4A0A">
            <w:pPr>
              <w:jc w:val="center"/>
              <w:rPr>
                <w:rFonts w:cstheme="majorBidi"/>
                <w:szCs w:val="24"/>
              </w:rPr>
            </w:pPr>
            <w:r w:rsidRPr="004A753D">
              <w:rPr>
                <w:rFonts w:cstheme="majorBidi"/>
                <w:szCs w:val="24"/>
              </w:rPr>
              <w:t>Severity Level</w:t>
            </w:r>
          </w:p>
        </w:tc>
      </w:tr>
      <w:tr w:rsidR="000F426F" w14:paraId="25D12A45" w14:textId="77777777" w:rsidTr="00EE5C99">
        <w:tc>
          <w:tcPr>
            <w:tcW w:w="3116" w:type="dxa"/>
          </w:tcPr>
          <w:p w14:paraId="3EE5BA38" w14:textId="77777777" w:rsidR="000F426F" w:rsidRDefault="000F426F" w:rsidP="000D4A0A">
            <w:pPr>
              <w:jc w:val="center"/>
              <w:rPr>
                <w:rFonts w:cstheme="majorBidi"/>
                <w:szCs w:val="24"/>
              </w:rPr>
            </w:pPr>
            <w:r>
              <w:rPr>
                <w:rFonts w:cstheme="majorBidi"/>
                <w:szCs w:val="24"/>
              </w:rPr>
              <w:t>High</w:t>
            </w:r>
          </w:p>
        </w:tc>
        <w:tc>
          <w:tcPr>
            <w:tcW w:w="3117" w:type="dxa"/>
          </w:tcPr>
          <w:p w14:paraId="0E25DB80" w14:textId="77777777" w:rsidR="000F426F" w:rsidRDefault="000F426F" w:rsidP="000D4A0A">
            <w:pPr>
              <w:jc w:val="center"/>
              <w:rPr>
                <w:rFonts w:cstheme="majorBidi"/>
                <w:szCs w:val="24"/>
              </w:rPr>
            </w:pPr>
            <w:r>
              <w:rPr>
                <w:rFonts w:cstheme="majorBidi"/>
                <w:szCs w:val="24"/>
              </w:rPr>
              <w:t>Medium</w:t>
            </w:r>
          </w:p>
        </w:tc>
        <w:tc>
          <w:tcPr>
            <w:tcW w:w="3117" w:type="dxa"/>
          </w:tcPr>
          <w:p w14:paraId="5D627937" w14:textId="77777777" w:rsidR="000F426F" w:rsidRDefault="000F426F" w:rsidP="000D4A0A">
            <w:pPr>
              <w:jc w:val="center"/>
              <w:rPr>
                <w:rFonts w:cstheme="majorBidi"/>
                <w:szCs w:val="24"/>
              </w:rPr>
            </w:pPr>
            <w:r>
              <w:rPr>
                <w:rFonts w:cstheme="majorBidi"/>
                <w:szCs w:val="24"/>
              </w:rPr>
              <w:t>Low</w:t>
            </w:r>
          </w:p>
        </w:tc>
      </w:tr>
      <w:tr w:rsidR="000F426F" w14:paraId="0BC51F71" w14:textId="77777777" w:rsidTr="00EE5C99">
        <w:tc>
          <w:tcPr>
            <w:tcW w:w="3116" w:type="dxa"/>
          </w:tcPr>
          <w:p w14:paraId="644F5322" w14:textId="77777777" w:rsidR="000F426F" w:rsidRPr="006F5D92" w:rsidRDefault="000F426F" w:rsidP="000D4A0A">
            <w:pPr>
              <w:pStyle w:val="ListParagraph"/>
              <w:numPr>
                <w:ilvl w:val="0"/>
                <w:numId w:val="2"/>
              </w:numPr>
              <w:rPr>
                <w:rFonts w:cstheme="majorBidi"/>
                <w:sz w:val="20"/>
                <w:szCs w:val="20"/>
              </w:rPr>
            </w:pPr>
            <w:r w:rsidRPr="006F5D92">
              <w:rPr>
                <w:rFonts w:cstheme="majorBidi"/>
                <w:sz w:val="20"/>
                <w:szCs w:val="20"/>
              </w:rPr>
              <w:t>Flooding and severe erosion</w:t>
            </w:r>
            <w:r w:rsidRPr="006F5D92">
              <w:rPr>
                <w:rFonts w:cstheme="majorBidi"/>
                <w:sz w:val="20"/>
                <w:szCs w:val="20"/>
              </w:rPr>
              <w:br/>
              <w:t>Bridge Failure</w:t>
            </w:r>
          </w:p>
          <w:p w14:paraId="523536C9" w14:textId="77777777" w:rsidR="000F426F" w:rsidRPr="006F5D92" w:rsidRDefault="000F426F" w:rsidP="000D4A0A">
            <w:pPr>
              <w:pStyle w:val="ListParagraph"/>
              <w:numPr>
                <w:ilvl w:val="0"/>
                <w:numId w:val="2"/>
              </w:numPr>
              <w:rPr>
                <w:rFonts w:cstheme="majorBidi"/>
                <w:sz w:val="20"/>
                <w:szCs w:val="20"/>
              </w:rPr>
            </w:pPr>
            <w:r w:rsidRPr="006F5D92">
              <w:rPr>
                <w:rFonts w:cstheme="majorBidi"/>
                <w:sz w:val="20"/>
                <w:szCs w:val="20"/>
              </w:rPr>
              <w:t>Section of road washouts</w:t>
            </w:r>
          </w:p>
          <w:p w14:paraId="5E83AB63" w14:textId="77777777" w:rsidR="000F426F" w:rsidRPr="006F5D92" w:rsidRDefault="000F426F" w:rsidP="000D4A0A">
            <w:pPr>
              <w:pStyle w:val="ListParagraph"/>
              <w:numPr>
                <w:ilvl w:val="0"/>
                <w:numId w:val="2"/>
              </w:numPr>
              <w:rPr>
                <w:rFonts w:cstheme="majorBidi"/>
                <w:sz w:val="20"/>
                <w:szCs w:val="20"/>
              </w:rPr>
            </w:pPr>
            <w:r w:rsidRPr="006F5D92">
              <w:rPr>
                <w:rFonts w:cstheme="majorBidi"/>
                <w:sz w:val="20"/>
                <w:szCs w:val="20"/>
              </w:rPr>
              <w:t>Power line Down</w:t>
            </w:r>
          </w:p>
          <w:p w14:paraId="7C52E428" w14:textId="77777777" w:rsidR="000F426F" w:rsidRPr="006F5D92" w:rsidRDefault="000F426F" w:rsidP="000D4A0A">
            <w:pPr>
              <w:pStyle w:val="ListParagraph"/>
              <w:numPr>
                <w:ilvl w:val="0"/>
                <w:numId w:val="2"/>
              </w:numPr>
              <w:rPr>
                <w:rFonts w:cstheme="majorBidi"/>
                <w:sz w:val="20"/>
                <w:szCs w:val="20"/>
              </w:rPr>
            </w:pPr>
            <w:r w:rsidRPr="006F5D92">
              <w:rPr>
                <w:rFonts w:cstheme="majorBidi"/>
                <w:sz w:val="20"/>
                <w:szCs w:val="20"/>
              </w:rPr>
              <w:t>Road washed away</w:t>
            </w:r>
          </w:p>
          <w:p w14:paraId="1307C1A7" w14:textId="77777777" w:rsidR="000F426F" w:rsidRPr="006F5D92" w:rsidRDefault="000F426F" w:rsidP="000D4A0A">
            <w:pPr>
              <w:pStyle w:val="ListParagraph"/>
              <w:numPr>
                <w:ilvl w:val="0"/>
                <w:numId w:val="2"/>
              </w:numPr>
              <w:rPr>
                <w:rFonts w:cstheme="majorBidi"/>
                <w:szCs w:val="24"/>
              </w:rPr>
            </w:pPr>
            <w:r w:rsidRPr="006F5D92">
              <w:rPr>
                <w:rFonts w:cstheme="majorBidi"/>
                <w:sz w:val="20"/>
                <w:szCs w:val="20"/>
              </w:rPr>
              <w:t>Severe sinkholes</w:t>
            </w:r>
            <w:r w:rsidRPr="006F5D92">
              <w:rPr>
                <w:rFonts w:cstheme="majorBidi"/>
                <w:sz w:val="20"/>
                <w:szCs w:val="20"/>
              </w:rPr>
              <w:br/>
              <w:t>Mud and Debris blocking roads</w:t>
            </w:r>
          </w:p>
        </w:tc>
        <w:tc>
          <w:tcPr>
            <w:tcW w:w="3117" w:type="dxa"/>
          </w:tcPr>
          <w:p w14:paraId="2B9CE588" w14:textId="77777777" w:rsidR="000F426F" w:rsidRPr="006F5D92" w:rsidRDefault="000F426F" w:rsidP="000D4A0A">
            <w:pPr>
              <w:pStyle w:val="ListParagraph"/>
              <w:numPr>
                <w:ilvl w:val="0"/>
                <w:numId w:val="3"/>
              </w:numPr>
              <w:rPr>
                <w:rFonts w:cstheme="majorBidi"/>
                <w:sz w:val="20"/>
                <w:szCs w:val="20"/>
              </w:rPr>
            </w:pPr>
            <w:r w:rsidRPr="006F5D92">
              <w:rPr>
                <w:rFonts w:cstheme="majorBidi"/>
                <w:sz w:val="20"/>
                <w:szCs w:val="20"/>
              </w:rPr>
              <w:t>Landslides</w:t>
            </w:r>
          </w:p>
          <w:p w14:paraId="3D1E5F48" w14:textId="77777777" w:rsidR="000F426F" w:rsidRPr="006F5D92" w:rsidRDefault="000F426F" w:rsidP="000D4A0A">
            <w:pPr>
              <w:pStyle w:val="ListParagraph"/>
              <w:numPr>
                <w:ilvl w:val="0"/>
                <w:numId w:val="3"/>
              </w:numPr>
              <w:rPr>
                <w:rFonts w:cstheme="majorBidi"/>
                <w:sz w:val="20"/>
                <w:szCs w:val="20"/>
              </w:rPr>
            </w:pPr>
            <w:r w:rsidRPr="006F5D92">
              <w:rPr>
                <w:rFonts w:cstheme="majorBidi"/>
                <w:sz w:val="20"/>
                <w:szCs w:val="20"/>
              </w:rPr>
              <w:t>Shoulder erosions</w:t>
            </w:r>
          </w:p>
          <w:p w14:paraId="513A34EE" w14:textId="0A0C6ACF" w:rsidR="000F426F" w:rsidRPr="006F5D92" w:rsidRDefault="000F426F" w:rsidP="000D4A0A">
            <w:pPr>
              <w:pStyle w:val="ListParagraph"/>
              <w:numPr>
                <w:ilvl w:val="0"/>
                <w:numId w:val="3"/>
              </w:numPr>
              <w:rPr>
                <w:rFonts w:cstheme="majorBidi"/>
                <w:sz w:val="20"/>
                <w:szCs w:val="20"/>
              </w:rPr>
            </w:pPr>
            <w:r w:rsidRPr="006F5D92">
              <w:rPr>
                <w:rFonts w:cstheme="majorBidi"/>
                <w:sz w:val="20"/>
                <w:szCs w:val="20"/>
              </w:rPr>
              <w:t xml:space="preserve">Roadway blocked by </w:t>
            </w:r>
            <w:r w:rsidR="006F5D92">
              <w:rPr>
                <w:rFonts w:cstheme="majorBidi"/>
                <w:sz w:val="20"/>
                <w:szCs w:val="20"/>
              </w:rPr>
              <w:t>debris</w:t>
            </w:r>
          </w:p>
          <w:p w14:paraId="410D7E41" w14:textId="77777777" w:rsidR="000F426F" w:rsidRPr="006F5D92" w:rsidRDefault="000F426F" w:rsidP="000D4A0A">
            <w:pPr>
              <w:pStyle w:val="ListParagraph"/>
              <w:numPr>
                <w:ilvl w:val="0"/>
                <w:numId w:val="3"/>
              </w:numPr>
              <w:rPr>
                <w:rFonts w:cstheme="majorBidi"/>
                <w:sz w:val="20"/>
                <w:szCs w:val="20"/>
              </w:rPr>
            </w:pPr>
            <w:r w:rsidRPr="006F5D92">
              <w:rPr>
                <w:rFonts w:cstheme="majorBidi"/>
                <w:sz w:val="20"/>
                <w:szCs w:val="20"/>
              </w:rPr>
              <w:t>Partial washouts and eroded</w:t>
            </w:r>
          </w:p>
          <w:p w14:paraId="3DB15DC1" w14:textId="77777777" w:rsidR="000F426F" w:rsidRPr="006F5D92" w:rsidRDefault="000F426F" w:rsidP="000D4A0A">
            <w:pPr>
              <w:pStyle w:val="ListParagraph"/>
              <w:numPr>
                <w:ilvl w:val="0"/>
                <w:numId w:val="3"/>
              </w:numPr>
              <w:rPr>
                <w:rFonts w:cstheme="majorBidi"/>
                <w:sz w:val="20"/>
                <w:szCs w:val="20"/>
              </w:rPr>
            </w:pPr>
            <w:r w:rsidRPr="006F5D92">
              <w:rPr>
                <w:rFonts w:cstheme="majorBidi"/>
                <w:sz w:val="20"/>
                <w:szCs w:val="20"/>
              </w:rPr>
              <w:t>Tree down with power lines</w:t>
            </w:r>
          </w:p>
          <w:p w14:paraId="58667C4B" w14:textId="77777777" w:rsidR="000F426F" w:rsidRPr="006F5D92" w:rsidRDefault="000F426F" w:rsidP="000D4A0A">
            <w:pPr>
              <w:pStyle w:val="ListParagraph"/>
              <w:numPr>
                <w:ilvl w:val="0"/>
                <w:numId w:val="3"/>
              </w:numPr>
              <w:rPr>
                <w:rFonts w:cstheme="majorBidi"/>
                <w:sz w:val="20"/>
                <w:szCs w:val="20"/>
              </w:rPr>
            </w:pPr>
            <w:r w:rsidRPr="006F5D92">
              <w:rPr>
                <w:rFonts w:cstheme="majorBidi"/>
                <w:sz w:val="20"/>
                <w:szCs w:val="20"/>
              </w:rPr>
              <w:t>Water Encroachment</w:t>
            </w:r>
          </w:p>
        </w:tc>
        <w:tc>
          <w:tcPr>
            <w:tcW w:w="3117" w:type="dxa"/>
          </w:tcPr>
          <w:p w14:paraId="6EBB3883" w14:textId="77777777" w:rsidR="000F426F" w:rsidRPr="006F5D92" w:rsidRDefault="000F426F" w:rsidP="000D4A0A">
            <w:pPr>
              <w:pStyle w:val="ListParagraph"/>
              <w:numPr>
                <w:ilvl w:val="0"/>
                <w:numId w:val="3"/>
              </w:numPr>
              <w:rPr>
                <w:rFonts w:cstheme="majorBidi"/>
                <w:sz w:val="20"/>
                <w:szCs w:val="20"/>
              </w:rPr>
            </w:pPr>
            <w:r w:rsidRPr="006F5D92">
              <w:rPr>
                <w:rFonts w:cstheme="majorBidi"/>
                <w:sz w:val="20"/>
                <w:szCs w:val="20"/>
              </w:rPr>
              <w:t>Road inundates</w:t>
            </w:r>
          </w:p>
          <w:p w14:paraId="1F73EFAE" w14:textId="77777777" w:rsidR="000F426F" w:rsidRPr="006F5D92" w:rsidRDefault="000F426F" w:rsidP="000D4A0A">
            <w:pPr>
              <w:pStyle w:val="ListParagraph"/>
              <w:numPr>
                <w:ilvl w:val="0"/>
                <w:numId w:val="3"/>
              </w:numPr>
              <w:rPr>
                <w:rFonts w:cstheme="majorBidi"/>
                <w:sz w:val="20"/>
                <w:szCs w:val="20"/>
              </w:rPr>
            </w:pPr>
            <w:r w:rsidRPr="006F5D92">
              <w:rPr>
                <w:rFonts w:cstheme="majorBidi"/>
                <w:sz w:val="20"/>
                <w:szCs w:val="20"/>
              </w:rPr>
              <w:t>Minor flooding</w:t>
            </w:r>
          </w:p>
          <w:p w14:paraId="3DBEA3E1" w14:textId="77777777" w:rsidR="000F426F" w:rsidRPr="006F5D92" w:rsidRDefault="000F426F" w:rsidP="000D4A0A">
            <w:pPr>
              <w:pStyle w:val="ListParagraph"/>
              <w:numPr>
                <w:ilvl w:val="0"/>
                <w:numId w:val="3"/>
              </w:numPr>
              <w:rPr>
                <w:rFonts w:cstheme="majorBidi"/>
                <w:sz w:val="20"/>
                <w:szCs w:val="20"/>
              </w:rPr>
            </w:pPr>
            <w:r w:rsidRPr="006F5D92">
              <w:rPr>
                <w:rFonts w:cstheme="majorBidi"/>
                <w:sz w:val="20"/>
                <w:szCs w:val="20"/>
              </w:rPr>
              <w:t>Pipe failure</w:t>
            </w:r>
          </w:p>
          <w:p w14:paraId="55A1B505" w14:textId="77777777" w:rsidR="000F426F" w:rsidRPr="006F5D92" w:rsidRDefault="000F426F" w:rsidP="000D4A0A">
            <w:pPr>
              <w:pStyle w:val="ListParagraph"/>
              <w:numPr>
                <w:ilvl w:val="0"/>
                <w:numId w:val="3"/>
              </w:numPr>
              <w:rPr>
                <w:rFonts w:cstheme="majorBidi"/>
                <w:sz w:val="20"/>
                <w:szCs w:val="20"/>
              </w:rPr>
            </w:pPr>
            <w:r w:rsidRPr="006F5D92">
              <w:rPr>
                <w:rFonts w:cstheme="majorBidi"/>
                <w:sz w:val="20"/>
                <w:szCs w:val="20"/>
              </w:rPr>
              <w:t>Shoulder washouts and erosions</w:t>
            </w:r>
          </w:p>
          <w:p w14:paraId="37AA6931" w14:textId="77777777" w:rsidR="000F426F" w:rsidRPr="006F5D92" w:rsidRDefault="000F426F" w:rsidP="000D4A0A">
            <w:pPr>
              <w:pStyle w:val="ListParagraph"/>
              <w:numPr>
                <w:ilvl w:val="0"/>
                <w:numId w:val="3"/>
              </w:numPr>
              <w:rPr>
                <w:rFonts w:cstheme="majorBidi"/>
                <w:sz w:val="20"/>
                <w:szCs w:val="20"/>
              </w:rPr>
            </w:pPr>
            <w:r w:rsidRPr="006F5D92">
              <w:rPr>
                <w:rFonts w:cstheme="majorBidi"/>
                <w:sz w:val="20"/>
                <w:szCs w:val="20"/>
              </w:rPr>
              <w:t>Emergency repairs</w:t>
            </w:r>
          </w:p>
          <w:p w14:paraId="1F92579E" w14:textId="77777777" w:rsidR="000F426F" w:rsidRPr="006F5D92" w:rsidRDefault="000F426F" w:rsidP="000D4A0A">
            <w:pPr>
              <w:pStyle w:val="ListParagraph"/>
              <w:numPr>
                <w:ilvl w:val="0"/>
                <w:numId w:val="3"/>
              </w:numPr>
              <w:rPr>
                <w:rFonts w:cstheme="majorBidi"/>
                <w:sz w:val="20"/>
                <w:szCs w:val="20"/>
              </w:rPr>
            </w:pPr>
            <w:r w:rsidRPr="006F5D92">
              <w:rPr>
                <w:rFonts w:cstheme="majorBidi"/>
                <w:sz w:val="20"/>
                <w:szCs w:val="20"/>
              </w:rPr>
              <w:t>Sinkholes</w:t>
            </w:r>
          </w:p>
          <w:p w14:paraId="4C380191" w14:textId="77777777" w:rsidR="000F426F" w:rsidRPr="006F5D92" w:rsidRDefault="000F426F" w:rsidP="000D4A0A">
            <w:pPr>
              <w:rPr>
                <w:rFonts w:cstheme="majorBidi"/>
                <w:sz w:val="20"/>
                <w:szCs w:val="20"/>
              </w:rPr>
            </w:pPr>
          </w:p>
          <w:p w14:paraId="1BA10838" w14:textId="77777777" w:rsidR="000F426F" w:rsidRPr="006F5D92" w:rsidRDefault="000F426F" w:rsidP="000D4A0A">
            <w:pPr>
              <w:rPr>
                <w:rFonts w:cstheme="majorBidi"/>
                <w:sz w:val="20"/>
                <w:szCs w:val="20"/>
              </w:rPr>
            </w:pPr>
          </w:p>
        </w:tc>
      </w:tr>
    </w:tbl>
    <w:p w14:paraId="4420009E" w14:textId="77777777" w:rsidR="000F426F" w:rsidRDefault="000F426F" w:rsidP="000D4A0A">
      <w:pPr>
        <w:pStyle w:val="Heading3"/>
        <w:spacing w:line="240" w:lineRule="auto"/>
      </w:pPr>
      <w:r w:rsidRPr="00330D93">
        <w:t>Structural Impact of Flooding</w:t>
      </w:r>
    </w:p>
    <w:p w14:paraId="7BC5F6A3" w14:textId="1A12002F" w:rsidR="009A3492" w:rsidRDefault="000F426F" w:rsidP="000D4A0A">
      <w:pPr>
        <w:spacing w:line="240" w:lineRule="auto"/>
        <w:rPr>
          <w:rFonts w:cstheme="majorBidi"/>
          <w:szCs w:val="24"/>
        </w:rPr>
      </w:pPr>
      <w:r w:rsidRPr="00330D93">
        <w:rPr>
          <w:rFonts w:cstheme="majorBidi"/>
          <w:szCs w:val="24"/>
        </w:rPr>
        <w:t xml:space="preserve">Prolonged </w:t>
      </w:r>
      <w:r w:rsidR="009A3492">
        <w:rPr>
          <w:rFonts w:cstheme="majorBidi"/>
          <w:szCs w:val="24"/>
        </w:rPr>
        <w:t xml:space="preserve">water </w:t>
      </w:r>
      <w:r w:rsidRPr="00330D93">
        <w:rPr>
          <w:rFonts w:cstheme="majorBidi"/>
          <w:szCs w:val="24"/>
        </w:rPr>
        <w:t xml:space="preserve">exposure significantly weakens subgrade soils by reducing their shear strength and stiffness, thereby </w:t>
      </w:r>
      <w:r w:rsidR="009A3492">
        <w:rPr>
          <w:rFonts w:cstheme="majorBidi"/>
          <w:szCs w:val="24"/>
        </w:rPr>
        <w:t>diminishing</w:t>
      </w:r>
      <w:r w:rsidRPr="00330D93">
        <w:rPr>
          <w:rFonts w:cstheme="majorBidi"/>
          <w:szCs w:val="24"/>
        </w:rPr>
        <w:t xml:space="preserve"> the pavement’s load-bearing capacity. This</w:t>
      </w:r>
      <w:r w:rsidR="009A3492">
        <w:rPr>
          <w:rFonts w:cstheme="majorBidi"/>
          <w:szCs w:val="24"/>
        </w:rPr>
        <w:t xml:space="preserve"> degradation</w:t>
      </w:r>
      <w:r w:rsidRPr="00330D93">
        <w:rPr>
          <w:rFonts w:cstheme="majorBidi"/>
          <w:szCs w:val="24"/>
        </w:rPr>
        <w:t xml:space="preserve"> can lead to permanent deformation and, in severe cases, </w:t>
      </w:r>
      <w:r w:rsidR="009A3492">
        <w:rPr>
          <w:rFonts w:cstheme="majorBidi"/>
          <w:szCs w:val="24"/>
        </w:rPr>
        <w:t>the formation of sinkholes within the</w:t>
      </w:r>
      <w:r w:rsidRPr="00330D93">
        <w:rPr>
          <w:rFonts w:cstheme="majorBidi"/>
          <w:szCs w:val="24"/>
        </w:rPr>
        <w:t xml:space="preserve"> pavement layers. </w:t>
      </w:r>
      <w:r w:rsidR="009A3492" w:rsidRPr="009A3492">
        <w:rPr>
          <w:rFonts w:cstheme="majorBidi"/>
          <w:szCs w:val="24"/>
        </w:rPr>
        <w:t xml:space="preserve">Inadequate drainage systems exacerbate these effects by trapping moisture within the pavement structure, </w:t>
      </w:r>
      <w:r w:rsidR="009A3492">
        <w:rPr>
          <w:rFonts w:cstheme="majorBidi"/>
          <w:szCs w:val="24"/>
        </w:rPr>
        <w:t>which saturates and weakens the</w:t>
      </w:r>
      <w:r w:rsidR="009A3492" w:rsidRPr="009A3492">
        <w:rPr>
          <w:rFonts w:cstheme="majorBidi"/>
          <w:szCs w:val="24"/>
        </w:rPr>
        <w:t xml:space="preserve"> base and subbase materials. Moisture accumulation also promotes asphalt stripping and erosion of unbound layers, further compromising structural integrity.</w:t>
      </w:r>
    </w:p>
    <w:p w14:paraId="7F79ACDB" w14:textId="0FFDA5F0" w:rsidR="000F426F" w:rsidRDefault="000F426F" w:rsidP="000D4A0A">
      <w:pPr>
        <w:spacing w:line="240" w:lineRule="auto"/>
        <w:rPr>
          <w:rFonts w:cstheme="majorBidi"/>
          <w:szCs w:val="24"/>
        </w:rPr>
      </w:pPr>
      <w:r w:rsidRPr="00985EED">
        <w:rPr>
          <w:rFonts w:cstheme="majorBidi"/>
          <w:szCs w:val="24"/>
        </w:rPr>
        <w:t xml:space="preserve">Empirical studies </w:t>
      </w:r>
      <w:r w:rsidR="009A3492">
        <w:rPr>
          <w:rFonts w:cstheme="majorBidi"/>
          <w:szCs w:val="24"/>
        </w:rPr>
        <w:t>confirm</w:t>
      </w:r>
      <w:r w:rsidRPr="00985EED">
        <w:rPr>
          <w:rFonts w:cstheme="majorBidi"/>
          <w:szCs w:val="24"/>
        </w:rPr>
        <w:t xml:space="preserve"> the detrimental effects of flooding on pavement performance. </w:t>
      </w:r>
      <w:r w:rsidRPr="00330D93">
        <w:rPr>
          <w:rFonts w:cstheme="majorBidi"/>
          <w:szCs w:val="24"/>
        </w:rPr>
        <w:t xml:space="preserve">For instance, a </w:t>
      </w:r>
      <w:r>
        <w:rPr>
          <w:rFonts w:cstheme="majorBidi"/>
          <w:szCs w:val="24"/>
        </w:rPr>
        <w:t xml:space="preserve">field </w:t>
      </w:r>
      <w:r w:rsidRPr="00330D93">
        <w:rPr>
          <w:rFonts w:cstheme="majorBidi"/>
          <w:szCs w:val="24"/>
        </w:rPr>
        <w:t xml:space="preserve">study of the LA 46 roadway in Louisiana, conducted before and after </w:t>
      </w:r>
      <w:r w:rsidRPr="009A3492">
        <w:rPr>
          <w:rFonts w:cstheme="majorBidi"/>
          <w:i/>
          <w:iCs/>
          <w:szCs w:val="24"/>
        </w:rPr>
        <w:t>Hurricane Katrina</w:t>
      </w:r>
      <w:r w:rsidRPr="00330D93">
        <w:rPr>
          <w:rFonts w:cstheme="majorBidi"/>
          <w:szCs w:val="24"/>
        </w:rPr>
        <w:t>, revealed that flooding reduced the subgrade resilient</w:t>
      </w:r>
      <w:r>
        <w:rPr>
          <w:rFonts w:cstheme="majorBidi"/>
          <w:szCs w:val="24"/>
        </w:rPr>
        <w:t xml:space="preserve"> modulus </w:t>
      </w:r>
      <w:r w:rsidRPr="00985EED">
        <w:rPr>
          <w:rFonts w:cstheme="majorBidi"/>
          <w:szCs w:val="24"/>
        </w:rPr>
        <w:t>by 10</w:t>
      </w:r>
      <w:r w:rsidR="00F62300">
        <w:rPr>
          <w:rFonts w:cstheme="majorBidi"/>
          <w:szCs w:val="24"/>
        </w:rPr>
        <w:t>-</w:t>
      </w:r>
      <w:r w:rsidRPr="00985EED">
        <w:rPr>
          <w:rFonts w:cstheme="majorBidi"/>
          <w:szCs w:val="24"/>
        </w:rPr>
        <w:t>30</w:t>
      </w:r>
      <w:r w:rsidR="00070422">
        <w:rPr>
          <w:rFonts w:cstheme="majorBidi"/>
          <w:szCs w:val="24"/>
        </w:rPr>
        <w:t xml:space="preserve"> percent</w:t>
      </w:r>
      <w:r w:rsidRPr="00985EED">
        <w:rPr>
          <w:rFonts w:cstheme="majorBidi"/>
          <w:szCs w:val="24"/>
        </w:rPr>
        <w:fldChar w:fldCharType="begin" w:fldLock="1"/>
      </w:r>
      <w:r w:rsidR="00026D6F">
        <w:rPr>
          <w:rFonts w:cstheme="majorBidi"/>
          <w:szCs w:val="24"/>
        </w:rPr>
        <w:instrText>ADDIN CSL_CITATION {"citationItems":[{"id":"ITEM-1","itemData":{"ISSN":"1090-0241","author":[{"dropping-particle":"","family":"Zhang","given":"Zhongjie","non-dropping-particle":"","parse-names":false,"suffix":""},{"dropping-particle":"","family":"Wu","given":"Zhong","non-dropping-particle":"","parse-names":false,"suffix":""},{"dropping-particle":"","family":"Martinez","given":"Mark","non-dropping-particle":"","parse-names":false,"suffix":""},{"dropping-particle":"","family":"Gaspard","given":"Kevin","non-dropping-particle":"","parse-names":false,"suffix":""}],"container-title":"Journal of geotechnical and geoenvironmental engineering","id":"ITEM-1","issue":"5","issued":{"date-parts":[["2008"]]},"page":"633-643","publisher":"American Society of Civil Engineers","title":"Pavement structures damage caused by Hurricane Katrina flooding","type":"article-journal","volume":"134"},"uris":["http://www.mendeley.com/documents/?uuid=adb4c70b-92f6-4306-a368-ac22f72405bc"]}],"mendeley":{"formattedCitation":"&lt;sup&gt;21&lt;/sup&gt;","plainTextFormattedCitation":"21","previouslyFormattedCitation":"&lt;sup&gt;21&lt;/sup&gt;"},"properties":{"noteIndex":0},"schema":"https://github.com/citation-style-language/schema/raw/master/csl-citation.json"}</w:instrText>
      </w:r>
      <w:r w:rsidRPr="00985EED">
        <w:rPr>
          <w:rFonts w:cstheme="majorBidi"/>
          <w:szCs w:val="24"/>
        </w:rPr>
        <w:fldChar w:fldCharType="separate"/>
      </w:r>
      <w:r w:rsidR="00026D6F" w:rsidRPr="00026D6F">
        <w:rPr>
          <w:rFonts w:cstheme="majorBidi"/>
          <w:noProof/>
          <w:szCs w:val="24"/>
          <w:vertAlign w:val="superscript"/>
        </w:rPr>
        <w:t>21</w:t>
      </w:r>
      <w:r w:rsidRPr="00985EED">
        <w:rPr>
          <w:rFonts w:cstheme="majorBidi"/>
          <w:szCs w:val="24"/>
        </w:rPr>
        <w:fldChar w:fldCharType="end"/>
      </w:r>
      <w:r w:rsidRPr="00985EED">
        <w:rPr>
          <w:rFonts w:cstheme="majorBidi"/>
          <w:szCs w:val="24"/>
        </w:rPr>
        <w:t xml:space="preserve">. Similar adverse trends were observed in the pavement structural number, indicating a significant loss of structural capacity. </w:t>
      </w:r>
      <w:r w:rsidRPr="00330D93">
        <w:rPr>
          <w:rFonts w:cstheme="majorBidi"/>
          <w:szCs w:val="24"/>
        </w:rPr>
        <w:t>This reduction in structural capacity was more pronounced in asphalt pavements compared to concrete pavements, underscoring the vulnerability of flexible pavements to flood-induced damage</w:t>
      </w:r>
      <w:r w:rsidRPr="00985EED">
        <w:rPr>
          <w:rFonts w:cstheme="majorBidi"/>
          <w:szCs w:val="24"/>
        </w:rPr>
        <w:fldChar w:fldCharType="begin" w:fldLock="1"/>
      </w:r>
      <w:r w:rsidR="00026D6F">
        <w:rPr>
          <w:rFonts w:cstheme="majorBidi"/>
          <w:szCs w:val="24"/>
        </w:rPr>
        <w:instrText>ADDIN CSL_CITATION {"citationItems":[{"id":"ITEM-1","itemData":{"ISSN":"1090-0241","author":[{"dropping-particle":"","family":"Zhang","given":"Zhongjie","non-dropping-particle":"","parse-names":false,"suffix":""},{"dropping-particle":"","family":"Wu","given":"Zhong","non-dropping-particle":"","parse-names":false,"suffix":""},{"dropping-particle":"","family":"Martinez","given":"Mark","non-dropping-particle":"","parse-names":false,"suffix":""},{"dropping-particle":"","family":"Gaspard","given":"Kevin","non-dropping-particle":"","parse-names":false,"suffix":""}],"container-title":"Journal of geotechnical and geoenvironmental engineering","id":"ITEM-1","issue":"5","issued":{"date-parts":[["2008"]]},"page":"633-643","publisher":"American Society of Civil Engineers","title":"Pavement structures damage caused by Hurricane Katrina flooding","type":"article-journal","volume":"134"},"uris":["http://www.mendeley.com/documents/?uuid=adb4c70b-92f6-4306-a368-ac22f72405bc"]}],"mendeley":{"formattedCitation":"&lt;sup&gt;21&lt;/sup&gt;","plainTextFormattedCitation":"21","previouslyFormattedCitation":"&lt;sup&gt;21&lt;/sup&gt;"},"properties":{"noteIndex":0},"schema":"https://github.com/citation-style-language/schema/raw/master/csl-citation.json"}</w:instrText>
      </w:r>
      <w:r w:rsidRPr="00985EED">
        <w:rPr>
          <w:rFonts w:cstheme="majorBidi"/>
          <w:szCs w:val="24"/>
        </w:rPr>
        <w:fldChar w:fldCharType="separate"/>
      </w:r>
      <w:r w:rsidR="00026D6F" w:rsidRPr="00026D6F">
        <w:rPr>
          <w:rFonts w:cstheme="majorBidi"/>
          <w:noProof/>
          <w:szCs w:val="24"/>
          <w:vertAlign w:val="superscript"/>
        </w:rPr>
        <w:t>21</w:t>
      </w:r>
      <w:r w:rsidRPr="00985EED">
        <w:rPr>
          <w:rFonts w:cstheme="majorBidi"/>
          <w:szCs w:val="24"/>
        </w:rPr>
        <w:fldChar w:fldCharType="end"/>
      </w:r>
      <w:r w:rsidRPr="00330D93">
        <w:rPr>
          <w:rFonts w:cstheme="majorBidi"/>
          <w:szCs w:val="24"/>
        </w:rPr>
        <w:t>.</w:t>
      </w:r>
    </w:p>
    <w:p w14:paraId="79E94CEF" w14:textId="4822704F" w:rsidR="000F426F" w:rsidRDefault="000F426F" w:rsidP="000D4A0A">
      <w:pPr>
        <w:spacing w:line="240" w:lineRule="auto"/>
        <w:rPr>
          <w:rFonts w:cstheme="majorBidi"/>
          <w:szCs w:val="24"/>
        </w:rPr>
      </w:pPr>
      <w:r w:rsidRPr="00330D93">
        <w:rPr>
          <w:rFonts w:cstheme="majorBidi"/>
          <w:szCs w:val="24"/>
        </w:rPr>
        <w:t>Flexible pavements begin to lose structural strength after just six hours of submersion in floodwaters, with significant weakening occurring within two hours</w:t>
      </w:r>
      <w:r w:rsidR="004A753D">
        <w:rPr>
          <w:rFonts w:cstheme="majorBidi"/>
          <w:szCs w:val="24"/>
        </w:rPr>
        <w:fldChar w:fldCharType="begin" w:fldLock="1"/>
      </w:r>
      <w:r w:rsidR="00026D6F">
        <w:rPr>
          <w:rFonts w:cstheme="majorBidi"/>
          <w:szCs w:val="24"/>
        </w:rPr>
        <w:instrText>ADDIN CSL_CITATION {"citationItems":[{"id":"ITEM-1","itemData":{"author":[{"dropping-particle":"","family":"Helali","given":"Khaled","non-dropping-particle":"","parse-names":false,"suffix":""},{"dropping-particle":"","family":"Robson","given":"Michael","non-dropping-particle":"","parse-names":false,"suffix":""},{"dropping-particle":"","family":"Nicholson","given":"Randy","non-dropping-particle":"","parse-names":false,"suffix":""},{"dropping-particle":"","family":"Bekheet","given":"Wael","non-dropping-particle":"","parse-names":false,"suffix":""}],"container-title":"7th International Conference on Managing Pavement Assets","id":"ITEM-1","issued":{"date-parts":[["2008"]]},"publisher":"Citeseer","title":"Importance of a pavement management system in assessing pavement damage from natural disasters: a case study to assess the damage from Hurricanes Katrina and Rita in Jefferson Parish, Louisiana","type":"paper-conference"},"uris":["http://www.mendeley.com/documents/?uuid=aa2768b5-e8f8-49ae-a05f-fb7b10750d3e"]}],"mendeley":{"formattedCitation":"&lt;sup&gt;22&lt;/sup&gt;","plainTextFormattedCitation":"22","previouslyFormattedCitation":"&lt;sup&gt;22&lt;/sup&gt;"},"properties":{"noteIndex":0},"schema":"https://github.com/citation-style-language/schema/raw/master/csl-citation.json"}</w:instrText>
      </w:r>
      <w:r w:rsidR="004A753D">
        <w:rPr>
          <w:rFonts w:cstheme="majorBidi"/>
          <w:szCs w:val="24"/>
        </w:rPr>
        <w:fldChar w:fldCharType="separate"/>
      </w:r>
      <w:r w:rsidR="00026D6F" w:rsidRPr="00026D6F">
        <w:rPr>
          <w:rFonts w:cstheme="majorBidi"/>
          <w:noProof/>
          <w:szCs w:val="24"/>
          <w:vertAlign w:val="superscript"/>
        </w:rPr>
        <w:t>22</w:t>
      </w:r>
      <w:r w:rsidR="004A753D">
        <w:rPr>
          <w:rFonts w:cstheme="majorBidi"/>
          <w:szCs w:val="24"/>
        </w:rPr>
        <w:fldChar w:fldCharType="end"/>
      </w:r>
      <w:r w:rsidRPr="00330D93">
        <w:rPr>
          <w:rFonts w:cstheme="majorBidi"/>
          <w:szCs w:val="24"/>
        </w:rPr>
        <w:t>. Studies have shown that flood-damaged pavements can experience up to a 67</w:t>
      </w:r>
      <w:r w:rsidR="00070422">
        <w:rPr>
          <w:rFonts w:cstheme="majorBidi"/>
          <w:szCs w:val="24"/>
        </w:rPr>
        <w:t xml:space="preserve"> percent</w:t>
      </w:r>
      <w:r w:rsidRPr="00330D93">
        <w:rPr>
          <w:rFonts w:cstheme="majorBidi"/>
          <w:szCs w:val="24"/>
        </w:rPr>
        <w:t xml:space="preserve"> reduction in the California Bearing Ratio (CBR) of the subgrade</w:t>
      </w:r>
      <w:r w:rsidR="009A3492">
        <w:rPr>
          <w:rFonts w:cstheme="majorBidi"/>
          <w:szCs w:val="24"/>
        </w:rPr>
        <w:t xml:space="preserve"> </w:t>
      </w:r>
      <w:r w:rsidR="009A3492" w:rsidRPr="009A3492">
        <w:rPr>
          <w:rFonts w:cstheme="majorBidi"/>
          <w:szCs w:val="24"/>
        </w:rPr>
        <w:t>and a 50% decrease in structural number</w:t>
      </w:r>
      <w:r w:rsidRPr="00330D93">
        <w:rPr>
          <w:rFonts w:cstheme="majorBidi"/>
          <w:szCs w:val="24"/>
        </w:rPr>
        <w:t>. These substantial reductions highlight the severe impact of flooding on pavement performance. Pavements with pre-existing distress</w:t>
      </w:r>
      <w:r w:rsidR="009A3492">
        <w:rPr>
          <w:rFonts w:cstheme="majorBidi"/>
          <w:szCs w:val="24"/>
        </w:rPr>
        <w:t>,</w:t>
      </w:r>
      <w:r>
        <w:rPr>
          <w:rFonts w:cstheme="majorBidi"/>
          <w:szCs w:val="24"/>
        </w:rPr>
        <w:t xml:space="preserve"> such as </w:t>
      </w:r>
      <w:r w:rsidRPr="001C2CE1">
        <w:rPr>
          <w:rFonts w:ascii="Times New Roman" w:eastAsia="Times New Roman" w:hAnsi="Times New Roman" w:cs="Times New Roman"/>
          <w:szCs w:val="24"/>
        </w:rPr>
        <w:t>alligator cracking, map cracking, and transverse or longitudinal cracking</w:t>
      </w:r>
      <w:r w:rsidR="009A3492">
        <w:rPr>
          <w:rFonts w:ascii="Times New Roman" w:eastAsia="Times New Roman" w:hAnsi="Times New Roman" w:cs="Times New Roman"/>
          <w:szCs w:val="24"/>
        </w:rPr>
        <w:t>,</w:t>
      </w:r>
      <w:r w:rsidRPr="00330D93">
        <w:rPr>
          <w:rFonts w:cstheme="majorBidi"/>
          <w:szCs w:val="24"/>
        </w:rPr>
        <w:t xml:space="preserve"> are especially vulnerable to accelerated deterioration, </w:t>
      </w:r>
      <w:r w:rsidR="009A3492" w:rsidRPr="009A3492">
        <w:rPr>
          <w:rFonts w:cstheme="majorBidi"/>
          <w:szCs w:val="24"/>
        </w:rPr>
        <w:t xml:space="preserve">as cracks facilitate water infiltration, exacerbating asphalt stripping and washout of filler particles in base or subbase </w:t>
      </w:r>
      <w:r w:rsidRPr="00330D93">
        <w:rPr>
          <w:rFonts w:cstheme="majorBidi"/>
          <w:szCs w:val="24"/>
        </w:rPr>
        <w:t xml:space="preserve"> layers</w:t>
      </w:r>
      <w:r w:rsidRPr="00985EED">
        <w:rPr>
          <w:rFonts w:cstheme="majorBidi"/>
          <w:szCs w:val="24"/>
        </w:rPr>
        <w:fldChar w:fldCharType="begin" w:fldLock="1"/>
      </w:r>
      <w:r w:rsidR="00026D6F">
        <w:rPr>
          <w:rFonts w:cstheme="majorBidi"/>
          <w:szCs w:val="24"/>
        </w:rPr>
        <w:instrText>ADDIN CSL_CITATION {"citationItems":[{"id":"ITEM-1","itemData":{"author":[{"dropping-particle":"","family":"Helali","given":"Khaled","non-dropping-particle":"","parse-names":false,"suffix":""},{"dropping-particle":"","family":"Robson","given":"Michael","non-dropping-particle":"","parse-names":false,"suffix":""},{"dropping-particle":"","family":"Nicholson","given":"Randy","non-dropping-particle":"","parse-names":false,"suffix":""},{"dropping-particle":"","family":"Bekheet","given":"Wael","non-dropping-particle":"","parse-names":false,"suffix":""}],"container-title":"7th International Conference on Managing Pavement Assets","id":"ITEM-1","issued":{"date-parts":[["2008"]]},"publisher":"Citeseer","title":"Importance of a pavement management system in assessing pavement damage from natural disasters: a case study to assess the damage from Hurricanes Katrina and Rita in Jefferson Parish, Louisiana","type":"paper-conference"},"uris":["http://www.mendeley.com/documents/?uuid=aa2768b5-e8f8-49ae-a05f-fb7b10750d3e"]}],"mendeley":{"formattedCitation":"&lt;sup&gt;22&lt;/sup&gt;","plainTextFormattedCitation":"22","previouslyFormattedCitation":"&lt;sup&gt;22&lt;/sup&gt;"},"properties":{"noteIndex":0},"schema":"https://github.com/citation-style-language/schema/raw/master/csl-citation.json"}</w:instrText>
      </w:r>
      <w:r w:rsidRPr="00985EED">
        <w:rPr>
          <w:rFonts w:cstheme="majorBidi"/>
          <w:szCs w:val="24"/>
        </w:rPr>
        <w:fldChar w:fldCharType="separate"/>
      </w:r>
      <w:r w:rsidR="00026D6F" w:rsidRPr="00026D6F">
        <w:rPr>
          <w:rFonts w:cstheme="majorBidi"/>
          <w:noProof/>
          <w:szCs w:val="24"/>
          <w:vertAlign w:val="superscript"/>
        </w:rPr>
        <w:t>22</w:t>
      </w:r>
      <w:r w:rsidRPr="00985EED">
        <w:rPr>
          <w:rFonts w:cstheme="majorBidi"/>
          <w:szCs w:val="24"/>
        </w:rPr>
        <w:fldChar w:fldCharType="end"/>
      </w:r>
      <w:r w:rsidRPr="00330D93">
        <w:rPr>
          <w:rFonts w:cstheme="majorBidi"/>
          <w:szCs w:val="24"/>
        </w:rPr>
        <w:t>.</w:t>
      </w:r>
    </w:p>
    <w:p w14:paraId="063964F0" w14:textId="77777777" w:rsidR="000F426F" w:rsidRDefault="000F426F" w:rsidP="000D4A0A">
      <w:pPr>
        <w:pStyle w:val="Heading3"/>
        <w:spacing w:line="240" w:lineRule="auto"/>
        <w:rPr>
          <w:rFonts w:eastAsia="Times New Roman"/>
        </w:rPr>
      </w:pPr>
      <w:r>
        <w:rPr>
          <w:rFonts w:eastAsia="Times New Roman"/>
        </w:rPr>
        <w:t>Flooding and Road Resiliency</w:t>
      </w:r>
    </w:p>
    <w:p w14:paraId="62E20541" w14:textId="3B06C9C3" w:rsidR="000F426F" w:rsidRPr="001C2CE1" w:rsidRDefault="009A3492" w:rsidP="000D4A0A">
      <w:pPr>
        <w:spacing w:before="100" w:beforeAutospacing="1" w:after="100" w:afterAutospacing="1" w:line="240" w:lineRule="auto"/>
        <w:rPr>
          <w:rFonts w:ascii="Times New Roman" w:eastAsia="Times New Roman" w:hAnsi="Times New Roman" w:cs="Times New Roman"/>
          <w:szCs w:val="24"/>
        </w:rPr>
      </w:pPr>
      <w:r w:rsidRPr="009A3492">
        <w:rPr>
          <w:rFonts w:ascii="Times New Roman" w:eastAsia="Times New Roman" w:hAnsi="Times New Roman" w:cs="Times New Roman"/>
          <w:szCs w:val="24"/>
        </w:rPr>
        <w:t xml:space="preserve">Flooding often results in prolonged roadway submergence, causing significant disruptions that hinder economic activities and emergency response operations. The vulnerability of roads to </w:t>
      </w:r>
      <w:r w:rsidRPr="009A3492">
        <w:rPr>
          <w:rFonts w:ascii="Times New Roman" w:eastAsia="Times New Roman" w:hAnsi="Times New Roman" w:cs="Times New Roman"/>
          <w:szCs w:val="24"/>
        </w:rPr>
        <w:lastRenderedPageBreak/>
        <w:t xml:space="preserve">flooding depends on both the surface material and the underlying structural layers. </w:t>
      </w:r>
      <w:proofErr w:type="spellStart"/>
      <w:r w:rsidR="000F426F" w:rsidRPr="001C2CE1">
        <w:rPr>
          <w:rFonts w:ascii="Times New Roman" w:eastAsia="Times New Roman" w:hAnsi="Times New Roman" w:cs="Times New Roman"/>
          <w:szCs w:val="24"/>
        </w:rPr>
        <w:t>Alipour</w:t>
      </w:r>
      <w:proofErr w:type="spellEnd"/>
      <w:r w:rsidR="000F426F" w:rsidRPr="001C2CE1">
        <w:rPr>
          <w:rFonts w:ascii="Times New Roman" w:eastAsia="Times New Roman" w:hAnsi="Times New Roman" w:cs="Times New Roman"/>
          <w:szCs w:val="24"/>
        </w:rPr>
        <w:t xml:space="preserve"> et al.</w:t>
      </w:r>
      <w:r w:rsidR="000F426F" w:rsidRPr="00985EED">
        <w:rPr>
          <w:rFonts w:ascii="Times New Roman" w:eastAsia="Times New Roman" w:hAnsi="Times New Roman" w:cs="Times New Roman"/>
          <w:szCs w:val="24"/>
        </w:rPr>
        <w:fldChar w:fldCharType="begin" w:fldLock="1"/>
      </w:r>
      <w:r w:rsidR="00026D6F">
        <w:rPr>
          <w:rFonts w:ascii="Times New Roman" w:eastAsia="Times New Roman" w:hAnsi="Times New Roman" w:cs="Times New Roman"/>
          <w:szCs w:val="24"/>
        </w:rPr>
        <w:instrText>ADDIN CSL_CITATION {"citationItems":[{"id":"ITEM-1","itemData":{"author":[{"dropping-particle":"","family":"Indicators","given":"Proxy","non-dropping-particle":"","parse-names":false,"suffix":""},{"dropping-particle":"","family":"Alipour","given":"Alice","non-dropping-particle":"","parse-names":false,"suffix":""}],"container-title":"The Bridge","id":"ITEM-1","issued":{"date-parts":[["2021"]]},"page":"294-8103","title":"Asset Management, Extreme Weather, and Proxy Indicators","type":"article-journal","volume":"515"},"uris":["http://www.mendeley.com/documents/?uuid=dbcc74c9-7b77-4bea-afbd-194bb9682040"]}],"mendeley":{"formattedCitation":"&lt;sup&gt;23&lt;/sup&gt;","plainTextFormattedCitation":"23","previouslyFormattedCitation":"&lt;sup&gt;23&lt;/sup&gt;"},"properties":{"noteIndex":0},"schema":"https://github.com/citation-style-language/schema/raw/master/csl-citation.json"}</w:instrText>
      </w:r>
      <w:r w:rsidR="000F426F" w:rsidRPr="00985EED">
        <w:rPr>
          <w:rFonts w:ascii="Times New Roman" w:eastAsia="Times New Roman" w:hAnsi="Times New Roman" w:cs="Times New Roman"/>
          <w:szCs w:val="24"/>
        </w:rPr>
        <w:fldChar w:fldCharType="separate"/>
      </w:r>
      <w:r w:rsidR="00026D6F" w:rsidRPr="00026D6F">
        <w:rPr>
          <w:rFonts w:ascii="Times New Roman" w:eastAsia="Times New Roman" w:hAnsi="Times New Roman" w:cs="Times New Roman"/>
          <w:noProof/>
          <w:szCs w:val="24"/>
          <w:vertAlign w:val="superscript"/>
        </w:rPr>
        <w:t>23</w:t>
      </w:r>
      <w:r w:rsidR="000F426F" w:rsidRPr="00985EED">
        <w:rPr>
          <w:rFonts w:ascii="Times New Roman" w:eastAsia="Times New Roman" w:hAnsi="Times New Roman" w:cs="Times New Roman"/>
          <w:szCs w:val="24"/>
        </w:rPr>
        <w:fldChar w:fldCharType="end"/>
      </w:r>
      <w:r w:rsidR="000F426F" w:rsidRPr="00985EED">
        <w:rPr>
          <w:rFonts w:ascii="Times New Roman" w:eastAsia="Times New Roman" w:hAnsi="Times New Roman" w:cs="Times New Roman"/>
          <w:szCs w:val="24"/>
        </w:rPr>
        <w:t xml:space="preserve"> </w:t>
      </w:r>
      <w:r w:rsidRPr="009A3492">
        <w:rPr>
          <w:rFonts w:ascii="Times New Roman" w:eastAsia="Times New Roman" w:hAnsi="Times New Roman" w:cs="Times New Roman"/>
          <w:szCs w:val="24"/>
        </w:rPr>
        <w:t xml:space="preserve">analyzed a county road network in Iowa under flooding scenarios ranging from 2-year to 500-year recurrence intervals. Their findings indicate that asphalt pavements (HMA) are particularly susceptible to flood-induced closures. For example, during a 2-year flood event, 7.98 miles of HMA roads required closure, increasing to 18.34 miles during a 500-year event. In contrast, </w:t>
      </w:r>
      <w:r>
        <w:rPr>
          <w:rFonts w:ascii="Times New Roman" w:eastAsia="Times New Roman" w:hAnsi="Times New Roman" w:cs="Times New Roman"/>
          <w:szCs w:val="24"/>
        </w:rPr>
        <w:t>Portland</w:t>
      </w:r>
      <w:r w:rsidRPr="009A3492">
        <w:rPr>
          <w:rFonts w:ascii="Times New Roman" w:eastAsia="Times New Roman" w:hAnsi="Times New Roman" w:cs="Times New Roman"/>
          <w:szCs w:val="24"/>
        </w:rPr>
        <w:t xml:space="preserve"> cement concrete (PCC) pavements demonstrated slightly better resilience, with fewer closures under comparable conditions. These results underscore the critical influence of surface material on a pavement’s ability to withstand inundation.</w:t>
      </w:r>
      <w:r>
        <w:rPr>
          <w:rFonts w:ascii="Times New Roman" w:eastAsia="Times New Roman" w:hAnsi="Times New Roman" w:cs="Times New Roman"/>
          <w:szCs w:val="24"/>
        </w:rPr>
        <w:t xml:space="preserve"> </w:t>
      </w:r>
      <w:r w:rsidRPr="009A3492">
        <w:rPr>
          <w:rFonts w:ascii="Times New Roman" w:eastAsia="Times New Roman" w:hAnsi="Times New Roman" w:cs="Times New Roman"/>
          <w:szCs w:val="24"/>
        </w:rPr>
        <w:t>The structural base layers also play a pivotal role in road resiliency. Roads constructed with untreated granular subbases or asphalt-treated bases experienced more closures compared to those built with more robust foundational materials. This highlights the importance of both material selection and structural design in mitigating flood-related disruptions</w:t>
      </w:r>
      <w:r w:rsidR="000F426F">
        <w:rPr>
          <w:rFonts w:ascii="Times New Roman" w:eastAsia="Times New Roman" w:hAnsi="Times New Roman" w:cs="Times New Roman"/>
          <w:szCs w:val="24"/>
        </w:rPr>
        <w:fldChar w:fldCharType="begin" w:fldLock="1"/>
      </w:r>
      <w:r w:rsidR="00026D6F">
        <w:rPr>
          <w:rFonts w:ascii="Times New Roman" w:eastAsia="Times New Roman" w:hAnsi="Times New Roman" w:cs="Times New Roman"/>
          <w:szCs w:val="24"/>
        </w:rPr>
        <w:instrText>ADDIN CSL_CITATION {"citationItems":[{"id":"ITEM-1","itemData":{"author":[{"dropping-particle":"","family":"Indicators","given":"Proxy","non-dropping-particle":"","parse-names":false,"suffix":""},{"dropping-particle":"","family":"Alipour","given":"Alice","non-dropping-particle":"","parse-names":false,"suffix":""}],"container-title":"The Bridge","id":"ITEM-1","issued":{"date-parts":[["2021"]]},"page":"294-8103","title":"Asset Management, Extreme Weather, and Proxy Indicators","type":"article-journal","volume":"515"},"uris":["http://www.mendeley.com/documents/?uuid=dbcc74c9-7b77-4bea-afbd-194bb9682040"]}],"mendeley":{"formattedCitation":"&lt;sup&gt;23&lt;/sup&gt;","plainTextFormattedCitation":"23","previouslyFormattedCitation":"&lt;sup&gt;23&lt;/sup&gt;"},"properties":{"noteIndex":0},"schema":"https://github.com/citation-style-language/schema/raw/master/csl-citation.json"}</w:instrText>
      </w:r>
      <w:r w:rsidR="000F426F">
        <w:rPr>
          <w:rFonts w:ascii="Times New Roman" w:eastAsia="Times New Roman" w:hAnsi="Times New Roman" w:cs="Times New Roman"/>
          <w:szCs w:val="24"/>
        </w:rPr>
        <w:fldChar w:fldCharType="separate"/>
      </w:r>
      <w:r w:rsidR="00026D6F" w:rsidRPr="00026D6F">
        <w:rPr>
          <w:rFonts w:ascii="Times New Roman" w:eastAsia="Times New Roman" w:hAnsi="Times New Roman" w:cs="Times New Roman"/>
          <w:noProof/>
          <w:szCs w:val="24"/>
          <w:vertAlign w:val="superscript"/>
        </w:rPr>
        <w:t>23</w:t>
      </w:r>
      <w:r w:rsidR="000F426F">
        <w:rPr>
          <w:rFonts w:ascii="Times New Roman" w:eastAsia="Times New Roman" w:hAnsi="Times New Roman" w:cs="Times New Roman"/>
          <w:szCs w:val="24"/>
        </w:rPr>
        <w:fldChar w:fldCharType="end"/>
      </w:r>
      <w:r w:rsidR="000F426F" w:rsidRPr="001C2CE1">
        <w:rPr>
          <w:rFonts w:ascii="Times New Roman" w:eastAsia="Times New Roman" w:hAnsi="Times New Roman" w:cs="Times New Roman"/>
          <w:szCs w:val="24"/>
        </w:rPr>
        <w:t xml:space="preserve">. </w:t>
      </w:r>
    </w:p>
    <w:p w14:paraId="4AC4F940" w14:textId="77777777" w:rsidR="00F62300" w:rsidRDefault="00F62300" w:rsidP="000D4A0A">
      <w:pPr>
        <w:spacing w:line="240" w:lineRule="auto"/>
        <w:rPr>
          <w:rFonts w:eastAsiaTheme="majorEastAsia" w:cstheme="majorBidi"/>
          <w:b/>
          <w:color w:val="000000" w:themeColor="text1"/>
          <w:szCs w:val="24"/>
        </w:rPr>
      </w:pPr>
      <w:r w:rsidRPr="00F62300">
        <w:rPr>
          <w:rFonts w:eastAsiaTheme="majorEastAsia" w:cstheme="majorBidi"/>
          <w:b/>
          <w:color w:val="000000" w:themeColor="text1"/>
          <w:szCs w:val="24"/>
        </w:rPr>
        <w:t>Illustrative Flood-Erosion Screening Analysis</w:t>
      </w:r>
    </w:p>
    <w:p w14:paraId="0D5368BB" w14:textId="3C55880B" w:rsidR="000F426F" w:rsidRDefault="00F62300" w:rsidP="000D4A0A">
      <w:pPr>
        <w:spacing w:line="240" w:lineRule="auto"/>
        <w:rPr>
          <w:rFonts w:cstheme="majorBidi"/>
          <w:szCs w:val="24"/>
        </w:rPr>
      </w:pPr>
      <w:r w:rsidRPr="00F62300">
        <w:rPr>
          <w:rFonts w:cstheme="majorBidi"/>
          <w:szCs w:val="24"/>
        </w:rPr>
        <w:t>To illustrate how hydraulic loading and material erodibility may be compared, a simplified pavement-edge scenario is considered</w:t>
      </w:r>
      <w:r w:rsidR="009A3492" w:rsidRPr="009A3492">
        <w:rPr>
          <w:rFonts w:cstheme="majorBidi"/>
          <w:szCs w:val="24"/>
        </w:rPr>
        <w:t>.</w:t>
      </w:r>
      <w:r>
        <w:rPr>
          <w:rFonts w:cstheme="majorBidi"/>
          <w:szCs w:val="24"/>
        </w:rPr>
        <w:t xml:space="preserve"> The considered </w:t>
      </w:r>
      <w:r w:rsidR="009A3492" w:rsidRPr="009A3492">
        <w:rPr>
          <w:rFonts w:cstheme="majorBidi"/>
          <w:szCs w:val="24"/>
        </w:rPr>
        <w:t>conditions include two types of base and subbase materials (regular granular materials and lime-treated materials), different floodwater velocities, and varying angles of flood movement relative to the roadway centerline.</w:t>
      </w:r>
      <w:r>
        <w:rPr>
          <w:rFonts w:cstheme="majorBidi"/>
          <w:szCs w:val="24"/>
        </w:rPr>
        <w:t xml:space="preserve"> Note that,</w:t>
      </w:r>
      <w:r w:rsidR="009A3492" w:rsidRPr="009A3492">
        <w:rPr>
          <w:rFonts w:cstheme="majorBidi"/>
          <w:szCs w:val="24"/>
        </w:rPr>
        <w:t xml:space="preserve"> </w:t>
      </w:r>
      <w:r>
        <w:rPr>
          <w:rFonts w:cstheme="majorBidi"/>
          <w:szCs w:val="24"/>
        </w:rPr>
        <w:t>t</w:t>
      </w:r>
      <w:r w:rsidRPr="00F62300">
        <w:rPr>
          <w:rFonts w:cstheme="majorBidi"/>
          <w:szCs w:val="24"/>
        </w:rPr>
        <w:t>he calculation uses representative material parameters and varying near-surface flow velocity. It is a screening exercise rather than a coupled hydrologic-hydraulic model of a roadway, and it does not account for changing flow depth, turbulence, pavement geometry, progressive scour, or loss of confinement</w:t>
      </w:r>
      <w:r>
        <w:rPr>
          <w:rFonts w:cstheme="majorBidi"/>
          <w:szCs w:val="24"/>
        </w:rPr>
        <w:t xml:space="preserve">. </w:t>
      </w:r>
      <w:r w:rsidR="009A3492" w:rsidRPr="009A3492">
        <w:rPr>
          <w:rFonts w:cstheme="majorBidi"/>
          <w:szCs w:val="24"/>
        </w:rPr>
        <w:t>A conventional pavement structure with fixed layer thicknesses is assumed, as shown in Figure 2</w:t>
      </w:r>
      <w:r w:rsidR="000F426F">
        <w:rPr>
          <w:rFonts w:cstheme="majorBidi"/>
          <w:szCs w:val="24"/>
        </w:rPr>
        <w:t xml:space="preserve">. </w:t>
      </w:r>
    </w:p>
    <w:p w14:paraId="53E596C3" w14:textId="5BED7FFB" w:rsidR="000F426F" w:rsidRDefault="00004112" w:rsidP="000D4A0A">
      <w:pPr>
        <w:spacing w:line="240" w:lineRule="auto"/>
        <w:rPr>
          <w:rFonts w:cstheme="majorBidi"/>
          <w:szCs w:val="24"/>
        </w:rPr>
      </w:pPr>
      <w:r>
        <w:rPr>
          <w:rFonts w:cstheme="majorBidi"/>
          <w:szCs w:val="24"/>
        </w:rPr>
        <w:t>Yuan et al.</w:t>
      </w:r>
      <w:r>
        <w:rPr>
          <w:rFonts w:cstheme="majorBidi"/>
          <w:szCs w:val="24"/>
        </w:rPr>
        <w:fldChar w:fldCharType="begin" w:fldLock="1"/>
      </w:r>
      <w:r w:rsidR="00026D6F">
        <w:rPr>
          <w:rFonts w:cstheme="majorBidi"/>
          <w:szCs w:val="24"/>
        </w:rPr>
        <w:instrText>ADDIN CSL_CITATION {"citationItems":[{"id":"ITEM-1","itemData":{"ISSN":"2045-2322","author":[{"dropping-particle":"","family":"Yuan","given":"Xingyu","non-dropping-particle":"","parse-names":false,"suffix":""},{"dropping-particle":"","family":"Ye","given":"Fei","non-dropping-particle":"","parse-names":false,"suffix":""},{"dropping-particle":"","family":"Fu","given":"Wenxi","non-dropping-particle":"","parse-names":false,"suffix":""},{"dropping-particle":"","family":"Wen","given":"Lina","non-dropping-particle":"","parse-names":false,"suffix":""}],"container-title":"Scientific Reports","id":"ITEM-1","issue":"1","issued":{"date-parts":[["2022"]]},"page":"9736","publisher":"Nature Publishing Group UK London","title":"Estimating the critical shear stress for incipient particle motion of a cohesive soil slope","type":"article-journal","volume":"12"},"uris":["http://www.mendeley.com/documents/?uuid=4ab1eda1-8405-49a2-acf0-472f7176d239"]}],"mendeley":{"formattedCitation":"&lt;sup&gt;24&lt;/sup&gt;","plainTextFormattedCitation":"24","previouslyFormattedCitation":"&lt;sup&gt;24&lt;/sup&gt;"},"properties":{"noteIndex":0},"schema":"https://github.com/citation-style-language/schema/raw/master/csl-citation.json"}</w:instrText>
      </w:r>
      <w:r>
        <w:rPr>
          <w:rFonts w:cstheme="majorBidi"/>
          <w:szCs w:val="24"/>
        </w:rPr>
        <w:fldChar w:fldCharType="separate"/>
      </w:r>
      <w:r w:rsidR="00026D6F" w:rsidRPr="00026D6F">
        <w:rPr>
          <w:rFonts w:cstheme="majorBidi"/>
          <w:noProof/>
          <w:szCs w:val="24"/>
          <w:vertAlign w:val="superscript"/>
        </w:rPr>
        <w:t>24</w:t>
      </w:r>
      <w:r>
        <w:rPr>
          <w:rFonts w:cstheme="majorBidi"/>
          <w:szCs w:val="24"/>
        </w:rPr>
        <w:fldChar w:fldCharType="end"/>
      </w:r>
      <w:r>
        <w:rPr>
          <w:rFonts w:cstheme="majorBidi"/>
          <w:szCs w:val="24"/>
        </w:rPr>
        <w:t xml:space="preserve"> derived and validated </w:t>
      </w:r>
      <w:r w:rsidR="00F62300">
        <w:rPr>
          <w:rFonts w:cstheme="majorBidi"/>
          <w:szCs w:val="24"/>
        </w:rPr>
        <w:t>a</w:t>
      </w:r>
      <w:r>
        <w:rPr>
          <w:rFonts w:cstheme="majorBidi"/>
          <w:szCs w:val="24"/>
        </w:rPr>
        <w:t xml:space="preserve"> </w:t>
      </w:r>
      <w:r w:rsidR="000F426F" w:rsidRPr="004D7756">
        <w:rPr>
          <w:rFonts w:cstheme="majorBidi"/>
          <w:szCs w:val="24"/>
        </w:rPr>
        <w:t>critical shear stress (</w:t>
      </w:r>
      <w:proofErr w:type="spellStart"/>
      <w:r w:rsidR="000F426F" w:rsidRPr="004D7756">
        <w:rPr>
          <w:rFonts w:cstheme="majorBidi"/>
          <w:szCs w:val="24"/>
        </w:rPr>
        <w:t>τ</w:t>
      </w:r>
      <w:r w:rsidR="000F426F" w:rsidRPr="004D7756">
        <w:rPr>
          <w:rFonts w:cstheme="majorBidi"/>
          <w:szCs w:val="24"/>
          <w:vertAlign w:val="subscript"/>
        </w:rPr>
        <w:t>c</w:t>
      </w:r>
      <w:proofErr w:type="spellEnd"/>
      <w:r w:rsidR="000F426F" w:rsidRPr="004D7756">
        <w:rPr>
          <w:rFonts w:cstheme="majorBidi"/>
          <w:szCs w:val="24"/>
        </w:rPr>
        <w:t xml:space="preserve">) </w:t>
      </w:r>
      <w:r>
        <w:rPr>
          <w:rFonts w:cstheme="majorBidi"/>
          <w:szCs w:val="24"/>
        </w:rPr>
        <w:t>based on the force equilibrium shear stress concept as follows</w:t>
      </w:r>
      <w:r w:rsidR="00CE2BED">
        <w:rPr>
          <w:rFonts w:cstheme="majorBidi"/>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805"/>
      </w:tblGrid>
      <w:tr w:rsidR="000F426F" w14:paraId="08431471" w14:textId="77777777" w:rsidTr="00EE5C99">
        <w:tc>
          <w:tcPr>
            <w:tcW w:w="8545" w:type="dxa"/>
          </w:tcPr>
          <w:p w14:paraId="29D5A5F6" w14:textId="52221728" w:rsidR="000F426F" w:rsidRDefault="000D4A0A" w:rsidP="000D4A0A">
            <w:pPr>
              <w:rPr>
                <w:rFonts w:cstheme="majorBidi"/>
                <w:szCs w:val="24"/>
              </w:rPr>
            </w:pPr>
            <m:oMathPara>
              <m:oMath>
                <m:sSub>
                  <m:sSubPr>
                    <m:ctrlPr>
                      <w:rPr>
                        <w:rFonts w:ascii="Cambria Math" w:hAnsi="Cambria Math" w:cstheme="majorBidi"/>
                        <w:i/>
                        <w:szCs w:val="24"/>
                      </w:rPr>
                    </m:ctrlPr>
                  </m:sSubPr>
                  <m:e>
                    <m:r>
                      <w:rPr>
                        <w:rFonts w:ascii="Cambria Math" w:hAnsi="Cambria Math" w:cstheme="majorBidi"/>
                        <w:szCs w:val="24"/>
                      </w:rPr>
                      <m:t>τ</m:t>
                    </m:r>
                  </m:e>
                  <m:sub>
                    <m:r>
                      <w:rPr>
                        <w:rFonts w:ascii="Cambria Math" w:hAnsi="Cambria Math" w:cstheme="majorBidi"/>
                        <w:szCs w:val="24"/>
                      </w:rPr>
                      <m:t>c</m:t>
                    </m:r>
                  </m:sub>
                </m:sSub>
                <m:r>
                  <w:rPr>
                    <w:rFonts w:ascii="Cambria Math" w:hAnsi="Cambria Math" w:cstheme="majorBidi"/>
                    <w:szCs w:val="24"/>
                  </w:rPr>
                  <m:t>=</m:t>
                </m:r>
                <m:f>
                  <m:fPr>
                    <m:ctrlPr>
                      <w:rPr>
                        <w:rFonts w:ascii="Cambria Math" w:hAnsi="Cambria Math" w:cstheme="majorBidi"/>
                        <w:i/>
                        <w:szCs w:val="24"/>
                      </w:rPr>
                    </m:ctrlPr>
                  </m:fPr>
                  <m:num>
                    <m:r>
                      <w:rPr>
                        <w:rFonts w:ascii="Cambria Math" w:hAnsi="Cambria Math" w:cstheme="majorBidi"/>
                        <w:szCs w:val="24"/>
                      </w:rPr>
                      <m:t>3</m:t>
                    </m:r>
                    <m:d>
                      <m:dPr>
                        <m:ctrlPr>
                          <w:rPr>
                            <w:rFonts w:ascii="Cambria Math" w:hAnsi="Cambria Math" w:cstheme="majorBidi"/>
                            <w:i/>
                            <w:szCs w:val="24"/>
                          </w:rPr>
                        </m:ctrlPr>
                      </m:dPr>
                      <m:e>
                        <m:r>
                          <w:rPr>
                            <w:rFonts w:ascii="Cambria Math" w:hAnsi="Cambria Math" w:cstheme="majorBidi"/>
                            <w:szCs w:val="24"/>
                          </w:rPr>
                          <m:t>1-n</m:t>
                        </m:r>
                      </m:e>
                    </m:d>
                    <m:r>
                      <w:rPr>
                        <w:rFonts w:ascii="Cambria Math" w:hAnsi="Cambria Math" w:cstheme="majorBidi"/>
                        <w:szCs w:val="24"/>
                      </w:rPr>
                      <m:t>α tan∅+g</m:t>
                    </m:r>
                    <m:sSup>
                      <m:sSupPr>
                        <m:ctrlPr>
                          <w:rPr>
                            <w:rFonts w:ascii="Cambria Math" w:hAnsi="Cambria Math" w:cstheme="majorBidi"/>
                            <w:i/>
                            <w:szCs w:val="24"/>
                          </w:rPr>
                        </m:ctrlPr>
                      </m:sSupPr>
                      <m:e>
                        <m:r>
                          <w:rPr>
                            <w:rFonts w:ascii="Cambria Math" w:hAnsi="Cambria Math" w:cstheme="majorBidi"/>
                            <w:szCs w:val="24"/>
                          </w:rPr>
                          <m:t>d</m:t>
                        </m:r>
                      </m:e>
                      <m:sup>
                        <m:r>
                          <w:rPr>
                            <w:rFonts w:ascii="Cambria Math" w:hAnsi="Cambria Math" w:cstheme="majorBidi"/>
                            <w:szCs w:val="24"/>
                          </w:rPr>
                          <m:t>2</m:t>
                        </m:r>
                      </m:sup>
                    </m:sSup>
                    <m:r>
                      <w:rPr>
                        <w:rFonts w:ascii="Cambria Math" w:hAnsi="Cambria Math" w:cstheme="majorBidi"/>
                        <w:szCs w:val="24"/>
                      </w:rPr>
                      <m:t>[</m:t>
                    </m:r>
                    <m:d>
                      <m:dPr>
                        <m:ctrlPr>
                          <w:rPr>
                            <w:rFonts w:ascii="Cambria Math" w:hAnsi="Cambria Math" w:cstheme="majorBidi"/>
                            <w:i/>
                            <w:szCs w:val="24"/>
                          </w:rPr>
                        </m:ctrlPr>
                      </m:dPr>
                      <m:e>
                        <m:sSub>
                          <m:sSubPr>
                            <m:ctrlPr>
                              <w:rPr>
                                <w:rFonts w:ascii="Cambria Math" w:hAnsi="Cambria Math" w:cstheme="majorBidi"/>
                                <w:i/>
                                <w:szCs w:val="24"/>
                              </w:rPr>
                            </m:ctrlPr>
                          </m:sSubPr>
                          <m:e>
                            <m:r>
                              <w:rPr>
                                <w:rFonts w:ascii="Cambria Math" w:hAnsi="Cambria Math" w:cstheme="majorBidi"/>
                                <w:szCs w:val="24"/>
                              </w:rPr>
                              <m:t>G</m:t>
                            </m:r>
                          </m:e>
                          <m:sub>
                            <m:r>
                              <w:rPr>
                                <w:rFonts w:ascii="Cambria Math" w:hAnsi="Cambria Math" w:cstheme="majorBidi"/>
                                <w:szCs w:val="24"/>
                              </w:rPr>
                              <m:t>s</m:t>
                            </m:r>
                          </m:sub>
                        </m:sSub>
                        <m:r>
                          <w:rPr>
                            <w:rFonts w:ascii="Cambria Math" w:hAnsi="Cambria Math" w:cstheme="majorBidi"/>
                            <w:szCs w:val="24"/>
                          </w:rPr>
                          <m:t>-1</m:t>
                        </m:r>
                      </m:e>
                    </m:d>
                    <m:d>
                      <m:dPr>
                        <m:ctrlPr>
                          <w:rPr>
                            <w:rFonts w:ascii="Cambria Math" w:hAnsi="Cambria Math" w:cstheme="majorBidi"/>
                            <w:i/>
                            <w:szCs w:val="24"/>
                          </w:rPr>
                        </m:ctrlPr>
                      </m:dPr>
                      <m:e>
                        <m:r>
                          <w:rPr>
                            <w:rFonts w:ascii="Cambria Math" w:hAnsi="Cambria Math" w:cstheme="majorBidi"/>
                            <w:szCs w:val="24"/>
                          </w:rPr>
                          <m:t>1-n</m:t>
                        </m:r>
                      </m:e>
                    </m:d>
                    <m:d>
                      <m:dPr>
                        <m:ctrlPr>
                          <w:rPr>
                            <w:rFonts w:ascii="Cambria Math" w:hAnsi="Cambria Math" w:cstheme="majorBidi"/>
                            <w:i/>
                            <w:szCs w:val="24"/>
                          </w:rPr>
                        </m:ctrlPr>
                      </m:dPr>
                      <m:e>
                        <m:r>
                          <w:rPr>
                            <w:rFonts w:ascii="Cambria Math" w:hAnsi="Cambria Math" w:cstheme="majorBidi"/>
                            <w:szCs w:val="24"/>
                          </w:rPr>
                          <m:t>cosθtan∅-sinθ</m:t>
                        </m:r>
                      </m:e>
                    </m:d>
                    <m:r>
                      <w:rPr>
                        <w:rFonts w:ascii="Cambria Math" w:hAnsi="Cambria Math" w:cstheme="majorBidi"/>
                        <w:szCs w:val="24"/>
                      </w:rPr>
                      <m:t>-sinθ]</m:t>
                    </m:r>
                  </m:num>
                  <m:den>
                    <m:r>
                      <w:rPr>
                        <w:rFonts w:ascii="Cambria Math" w:hAnsi="Cambria Math" w:cstheme="majorBidi"/>
                        <w:szCs w:val="24"/>
                      </w:rPr>
                      <m:t>0.0235d(1-</m:t>
                    </m:r>
                    <m:sSub>
                      <m:sSubPr>
                        <m:ctrlPr>
                          <w:rPr>
                            <w:rFonts w:ascii="Cambria Math" w:hAnsi="Cambria Math" w:cstheme="majorBidi"/>
                            <w:i/>
                            <w:szCs w:val="24"/>
                          </w:rPr>
                        </m:ctrlPr>
                      </m:sSubPr>
                      <m:e>
                        <m:r>
                          <w:rPr>
                            <w:rFonts w:ascii="Cambria Math" w:hAnsi="Cambria Math" w:cstheme="majorBidi"/>
                            <w:szCs w:val="24"/>
                          </w:rPr>
                          <m:t>n</m:t>
                        </m:r>
                      </m:e>
                      <m:sub>
                        <m:r>
                          <w:rPr>
                            <w:rFonts w:ascii="Cambria Math" w:hAnsi="Cambria Math" w:cstheme="majorBidi"/>
                            <w:szCs w:val="24"/>
                          </w:rPr>
                          <m:t>0</m:t>
                        </m:r>
                      </m:sub>
                    </m:sSub>
                    <m:r>
                      <w:rPr>
                        <w:rFonts w:ascii="Cambria Math" w:hAnsi="Cambria Math" w:cstheme="majorBidi"/>
                        <w:szCs w:val="24"/>
                      </w:rPr>
                      <m:t>)(</m:t>
                    </m:r>
                    <m:sSub>
                      <m:sSubPr>
                        <m:ctrlPr>
                          <w:rPr>
                            <w:rFonts w:ascii="Cambria Math" w:hAnsi="Cambria Math" w:cstheme="majorBidi"/>
                            <w:i/>
                            <w:szCs w:val="24"/>
                          </w:rPr>
                        </m:ctrlPr>
                      </m:sSubPr>
                      <m:e>
                        <m:r>
                          <w:rPr>
                            <w:rFonts w:ascii="Cambria Math" w:hAnsi="Cambria Math" w:cstheme="majorBidi"/>
                            <w:szCs w:val="24"/>
                          </w:rPr>
                          <m:t>C</m:t>
                        </m:r>
                      </m:e>
                      <m:sub>
                        <m:r>
                          <w:rPr>
                            <w:rFonts w:ascii="Cambria Math" w:hAnsi="Cambria Math" w:cstheme="majorBidi"/>
                            <w:szCs w:val="24"/>
                          </w:rPr>
                          <m:t>D</m:t>
                        </m:r>
                      </m:sub>
                    </m:sSub>
                    <m:r>
                      <w:rPr>
                        <w:rFonts w:ascii="Cambria Math" w:hAnsi="Cambria Math" w:cstheme="majorBidi"/>
                        <w:szCs w:val="24"/>
                      </w:rPr>
                      <m:t>+</m:t>
                    </m:r>
                    <m:sSub>
                      <m:sSubPr>
                        <m:ctrlPr>
                          <w:rPr>
                            <w:rFonts w:ascii="Cambria Math" w:hAnsi="Cambria Math" w:cstheme="majorBidi"/>
                            <w:i/>
                            <w:szCs w:val="24"/>
                          </w:rPr>
                        </m:ctrlPr>
                      </m:sSubPr>
                      <m:e>
                        <m:r>
                          <w:rPr>
                            <w:rFonts w:ascii="Cambria Math" w:hAnsi="Cambria Math" w:cstheme="majorBidi"/>
                            <w:szCs w:val="24"/>
                          </w:rPr>
                          <m:t>C</m:t>
                        </m:r>
                      </m:e>
                      <m:sub>
                        <m:r>
                          <w:rPr>
                            <w:rFonts w:ascii="Cambria Math" w:hAnsi="Cambria Math" w:cstheme="majorBidi"/>
                            <w:szCs w:val="24"/>
                          </w:rPr>
                          <m:t>L</m:t>
                        </m:r>
                      </m:sub>
                    </m:sSub>
                    <m:r>
                      <w:rPr>
                        <w:rFonts w:ascii="Cambria Math" w:hAnsi="Cambria Math" w:cstheme="majorBidi"/>
                        <w:szCs w:val="24"/>
                      </w:rPr>
                      <m:t>tan∅)</m:t>
                    </m:r>
                  </m:den>
                </m:f>
              </m:oMath>
            </m:oMathPara>
          </w:p>
        </w:tc>
        <w:tc>
          <w:tcPr>
            <w:tcW w:w="805" w:type="dxa"/>
          </w:tcPr>
          <w:p w14:paraId="044C9028" w14:textId="77777777" w:rsidR="000F426F" w:rsidRDefault="000F426F" w:rsidP="000D4A0A">
            <w:pPr>
              <w:rPr>
                <w:rFonts w:cstheme="majorBidi"/>
                <w:szCs w:val="24"/>
              </w:rPr>
            </w:pPr>
            <w:r>
              <w:rPr>
                <w:rFonts w:cstheme="majorBidi"/>
                <w:szCs w:val="24"/>
              </w:rPr>
              <w:t>Eq. 2</w:t>
            </w:r>
          </w:p>
        </w:tc>
      </w:tr>
    </w:tbl>
    <w:p w14:paraId="1073F896" w14:textId="77777777" w:rsidR="000F426F" w:rsidRDefault="000F426F" w:rsidP="000D4A0A">
      <w:pPr>
        <w:spacing w:line="240" w:lineRule="auto"/>
        <w:rPr>
          <w:rFonts w:cstheme="majorBidi"/>
          <w:szCs w:val="24"/>
        </w:rPr>
      </w:pPr>
    </w:p>
    <w:p w14:paraId="4C145B8C" w14:textId="0C16C691" w:rsidR="000F426F" w:rsidRDefault="00C70391" w:rsidP="000D4A0A">
      <w:pPr>
        <w:spacing w:line="240" w:lineRule="auto"/>
        <w:rPr>
          <w:rFonts w:cstheme="majorBidi"/>
          <w:szCs w:val="24"/>
        </w:rPr>
      </w:pPr>
      <w:r w:rsidRPr="00C70391">
        <w:rPr>
          <w:rFonts w:cstheme="majorBidi"/>
          <w:szCs w:val="24"/>
        </w:rPr>
        <w:t xml:space="preserve">where n is soil porosity; α is an integrated cohesion parameter (m³/s²); φ is the internal friction angle; Gs is particle specific gravity; d is representative particle diameter; g is gravitational acceleration (9.81 m/s²); θ is the </w:t>
      </w:r>
      <w:r w:rsidR="00E65898">
        <w:rPr>
          <w:rFonts w:cstheme="majorBidi"/>
          <w:szCs w:val="24"/>
        </w:rPr>
        <w:t>eroding-</w:t>
      </w:r>
      <w:r w:rsidRPr="00C70391">
        <w:rPr>
          <w:rFonts w:cstheme="majorBidi"/>
          <w:szCs w:val="24"/>
        </w:rPr>
        <w:t>surface slope angle in the direction of runoff; and C</w:t>
      </w:r>
      <w:r w:rsidRPr="00E65898">
        <w:rPr>
          <w:rFonts w:cstheme="majorBidi"/>
          <w:szCs w:val="24"/>
          <w:vertAlign w:val="subscript"/>
        </w:rPr>
        <w:t>D</w:t>
      </w:r>
      <w:r w:rsidRPr="00C70391">
        <w:rPr>
          <w:rFonts w:cstheme="majorBidi"/>
          <w:szCs w:val="24"/>
        </w:rPr>
        <w:t xml:space="preserve"> and C</w:t>
      </w:r>
      <w:r w:rsidRPr="00E65898">
        <w:rPr>
          <w:rFonts w:cstheme="majorBidi"/>
          <w:szCs w:val="24"/>
          <w:vertAlign w:val="subscript"/>
        </w:rPr>
        <w:t>L</w:t>
      </w:r>
      <w:r w:rsidRPr="00C70391">
        <w:rPr>
          <w:rFonts w:cstheme="majorBidi"/>
          <w:szCs w:val="24"/>
        </w:rPr>
        <w:t xml:space="preserve"> are drag and uplift coefficients, respectively. Because the relation was developed for cohesive soil slopes, its application to pavement base and subbase materials requires material-specific validation.</w:t>
      </w:r>
    </w:p>
    <w:p w14:paraId="4408E785" w14:textId="1104FEA0" w:rsidR="000F426F" w:rsidRDefault="00690198" w:rsidP="000D4A0A">
      <w:pPr>
        <w:keepNext/>
        <w:spacing w:line="240" w:lineRule="auto"/>
        <w:jc w:val="center"/>
      </w:pPr>
      <w:r>
        <w:rPr>
          <w:noProof/>
        </w:rPr>
        <w:lastRenderedPageBreak/>
        <w:drawing>
          <wp:inline distT="0" distB="0" distL="0" distR="0" wp14:anchorId="5EC9C424" wp14:editId="626D23B7">
            <wp:extent cx="3150158" cy="18518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123" t="3110" r="2168"/>
                    <a:stretch/>
                  </pic:blipFill>
                  <pic:spPr bwMode="auto">
                    <a:xfrm>
                      <a:off x="0" y="0"/>
                      <a:ext cx="3160514" cy="1857948"/>
                    </a:xfrm>
                    <a:prstGeom prst="rect">
                      <a:avLst/>
                    </a:prstGeom>
                    <a:noFill/>
                    <a:ln>
                      <a:noFill/>
                    </a:ln>
                    <a:extLst>
                      <a:ext uri="{53640926-AAD7-44D8-BBD7-CCE9431645EC}">
                        <a14:shadowObscured xmlns:a14="http://schemas.microsoft.com/office/drawing/2010/main"/>
                      </a:ext>
                    </a:extLst>
                  </pic:spPr>
                </pic:pic>
              </a:graphicData>
            </a:graphic>
          </wp:inline>
        </w:drawing>
      </w:r>
    </w:p>
    <w:p w14:paraId="24A6B51B" w14:textId="5748B19E" w:rsidR="000F426F" w:rsidRDefault="000F426F" w:rsidP="000D4A0A">
      <w:pPr>
        <w:pStyle w:val="Caption"/>
        <w:jc w:val="center"/>
        <w:rPr>
          <w:rFonts w:cstheme="majorBidi"/>
          <w:szCs w:val="24"/>
        </w:rPr>
      </w:pPr>
      <w:r>
        <w:t xml:space="preserve">Figure </w:t>
      </w:r>
      <w:r w:rsidR="000D4A0A">
        <w:fldChar w:fldCharType="begin"/>
      </w:r>
      <w:r w:rsidR="000D4A0A">
        <w:instrText xml:space="preserve"> SEQ Figure \* ARABIC </w:instrText>
      </w:r>
      <w:r w:rsidR="000D4A0A">
        <w:fldChar w:fldCharType="separate"/>
      </w:r>
      <w:r w:rsidR="004A753D">
        <w:rPr>
          <w:noProof/>
        </w:rPr>
        <w:t>2</w:t>
      </w:r>
      <w:r w:rsidR="000D4A0A">
        <w:rPr>
          <w:noProof/>
        </w:rPr>
        <w:fldChar w:fldCharType="end"/>
      </w:r>
      <w:r>
        <w:t>. Schematic road configuration for erosion rate analysis</w:t>
      </w:r>
      <w:r w:rsidR="00C74E00">
        <w:t>.</w:t>
      </w:r>
    </w:p>
    <w:p w14:paraId="54FA8070" w14:textId="7276695A" w:rsidR="000F426F" w:rsidRDefault="00CE2BED" w:rsidP="000D4A0A">
      <w:pPr>
        <w:spacing w:line="240" w:lineRule="auto"/>
        <w:rPr>
          <w:rFonts w:cstheme="majorBidi"/>
          <w:szCs w:val="24"/>
        </w:rPr>
      </w:pPr>
      <w:r>
        <w:rPr>
          <w:rFonts w:cstheme="majorBidi"/>
          <w:szCs w:val="24"/>
        </w:rPr>
        <w:t>T</w:t>
      </w:r>
      <w:r w:rsidR="000F426F">
        <w:rPr>
          <w:rFonts w:cstheme="majorBidi"/>
          <w:szCs w:val="24"/>
        </w:rPr>
        <w:t xml:space="preserve">he applied </w:t>
      </w:r>
      <w:r w:rsidR="00C70391">
        <w:rPr>
          <w:rFonts w:cstheme="majorBidi"/>
          <w:szCs w:val="24"/>
        </w:rPr>
        <w:t>boundary</w:t>
      </w:r>
      <w:r w:rsidR="000F426F">
        <w:rPr>
          <w:rFonts w:cstheme="majorBidi"/>
          <w:szCs w:val="24"/>
        </w:rPr>
        <w:t xml:space="preserve"> shear stress</w:t>
      </w:r>
      <w:r>
        <w:rPr>
          <w:rFonts w:cstheme="majorBidi"/>
          <w:szCs w:val="24"/>
        </w:rPr>
        <w:t xml:space="preserve"> is </w:t>
      </w:r>
      <w:r w:rsidR="00C70391">
        <w:rPr>
          <w:rFonts w:cstheme="majorBidi"/>
          <w:szCs w:val="24"/>
        </w:rPr>
        <w:t>related to friction velocity by</w:t>
      </w:r>
      <w:r w:rsidR="000F426F">
        <w:rPr>
          <w:rFonts w:cstheme="majorBidi"/>
          <w:szCs w:val="24"/>
        </w:rPr>
        <w:fldChar w:fldCharType="begin" w:fldLock="1"/>
      </w:r>
      <w:r w:rsidR="00026D6F">
        <w:rPr>
          <w:rFonts w:cstheme="majorBidi"/>
          <w:szCs w:val="24"/>
        </w:rPr>
        <w:instrText>ADDIN CSL_CITATION {"citationItems":[{"id":"ITEM-1","itemData":{"ISBN":"1139486969","author":[{"dropping-particle":"","family":"Julien","given":"Pierre Y","non-dropping-particle":"","parse-names":false,"suffix":""}],"id":"ITEM-1","issued":{"date-parts":[["2010"]]},"publisher":"Cambridge university press","title":"Erosion and sedimentation","type":"book"},"uris":["http://www.mendeley.com/documents/?uuid=5ef16221-5d72-41ef-ac72-6170712fa918"]},{"id":"ITEM-2","itemData":{"ISSN":"2045-2322","author":[{"dropping-particle":"","family":"Yuan","given":"Xingyu","non-dropping-particle":"","parse-names":false,"suffix":""},{"dropping-particle":"","family":"Ye","given":"Fei","non-dropping-particle":"","parse-names":false,"suffix":""},{"dropping-particle":"","family":"Fu","given":"Wenxi","non-dropping-particle":"","parse-names":false,"suffix":""},{"dropping-particle":"","family":"Wen","given":"Lina","non-dropping-particle":"","parse-names":false,"suffix":""}],"container-title":"Scientific Reports","id":"ITEM-2","issue":"1","issued":{"date-parts":[["2022"]]},"page":"9736","publisher":"Nature Publishing Group UK London","title":"Estimating the critical shear stress for incipient particle motion of a cohesive soil slope","type":"article-journal","volume":"12"},"uris":["http://www.mendeley.com/documents/?uuid=4ab1eda1-8405-49a2-acf0-472f7176d239"]}],"mendeley":{"formattedCitation":"&lt;sup&gt;24,25&lt;/sup&gt;","plainTextFormattedCitation":"24,25","previouslyFormattedCitation":"&lt;sup&gt;24,25&lt;/sup&gt;"},"properties":{"noteIndex":0},"schema":"https://github.com/citation-style-language/schema/raw/master/csl-citation.json"}</w:instrText>
      </w:r>
      <w:r w:rsidR="000F426F">
        <w:rPr>
          <w:rFonts w:cstheme="majorBidi"/>
          <w:szCs w:val="24"/>
        </w:rPr>
        <w:fldChar w:fldCharType="separate"/>
      </w:r>
      <w:r w:rsidR="00026D6F" w:rsidRPr="00026D6F">
        <w:rPr>
          <w:rFonts w:cstheme="majorBidi"/>
          <w:noProof/>
          <w:szCs w:val="24"/>
          <w:vertAlign w:val="superscript"/>
        </w:rPr>
        <w:t>24,25</w:t>
      </w:r>
      <w:r w:rsidR="000F426F">
        <w:rPr>
          <w:rFonts w:cstheme="majorBidi"/>
          <w:szCs w:val="24"/>
        </w:rPr>
        <w:fldChar w:fldCharType="end"/>
      </w:r>
      <w:r>
        <w:rPr>
          <w:rFonts w:cstheme="majorBidi"/>
          <w:szCs w:val="24"/>
        </w:rPr>
        <w:t>:</w:t>
      </w:r>
      <w:r w:rsidR="000F426F">
        <w:rPr>
          <w:rFonts w:cstheme="majorBidi"/>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gridCol w:w="985"/>
      </w:tblGrid>
      <w:tr w:rsidR="000F426F" w14:paraId="7ED3FC9A" w14:textId="77777777" w:rsidTr="003F2CE0">
        <w:trPr>
          <w:trHeight w:val="342"/>
        </w:trPr>
        <w:tc>
          <w:tcPr>
            <w:tcW w:w="8365" w:type="dxa"/>
          </w:tcPr>
          <w:p w14:paraId="291E20A8" w14:textId="77777777" w:rsidR="000F426F" w:rsidRPr="00914EDC" w:rsidRDefault="000D4A0A" w:rsidP="000D4A0A">
            <w:pPr>
              <w:rPr>
                <w:rFonts w:eastAsiaTheme="minorEastAsia" w:cstheme="majorBidi"/>
                <w:szCs w:val="24"/>
              </w:rPr>
            </w:pPr>
            <m:oMathPara>
              <m:oMath>
                <m:sSub>
                  <m:sSubPr>
                    <m:ctrlPr>
                      <w:rPr>
                        <w:rFonts w:ascii="Cambria Math" w:hAnsi="Cambria Math" w:cstheme="majorBidi"/>
                        <w:i/>
                        <w:szCs w:val="24"/>
                      </w:rPr>
                    </m:ctrlPr>
                  </m:sSubPr>
                  <m:e>
                    <m:r>
                      <w:rPr>
                        <w:rFonts w:ascii="Cambria Math" w:hAnsi="Cambria Math" w:cstheme="majorBidi"/>
                        <w:szCs w:val="24"/>
                      </w:rPr>
                      <m:t>τ</m:t>
                    </m:r>
                  </m:e>
                  <m:sub>
                    <m:r>
                      <w:rPr>
                        <w:rFonts w:ascii="Cambria Math" w:hAnsi="Cambria Math" w:cstheme="majorBidi"/>
                        <w:szCs w:val="24"/>
                      </w:rPr>
                      <m:t>a</m:t>
                    </m:r>
                  </m:sub>
                </m:sSub>
                <m:r>
                  <w:rPr>
                    <w:rFonts w:ascii="Cambria Math" w:eastAsiaTheme="minorEastAsia" w:hAnsi="Cambria Math" w:cstheme="majorBidi"/>
                    <w:szCs w:val="24"/>
                  </w:rPr>
                  <m:t>=</m:t>
                </m:r>
                <m:sSub>
                  <m:sSubPr>
                    <m:ctrlPr>
                      <w:rPr>
                        <w:rFonts w:ascii="Cambria Math" w:eastAsiaTheme="minorEastAsia" w:hAnsi="Cambria Math" w:cstheme="majorBidi"/>
                        <w:i/>
                        <w:szCs w:val="24"/>
                      </w:rPr>
                    </m:ctrlPr>
                  </m:sSubPr>
                  <m:e>
                    <m:r>
                      <w:rPr>
                        <w:rFonts w:ascii="Cambria Math" w:eastAsiaTheme="minorEastAsia" w:hAnsi="Cambria Math" w:cstheme="majorBidi"/>
                        <w:szCs w:val="24"/>
                      </w:rPr>
                      <m:t>ρ</m:t>
                    </m:r>
                  </m:e>
                  <m:sub>
                    <m:r>
                      <w:rPr>
                        <w:rFonts w:ascii="Cambria Math" w:eastAsiaTheme="minorEastAsia" w:hAnsi="Cambria Math" w:cstheme="majorBidi"/>
                        <w:szCs w:val="24"/>
                      </w:rPr>
                      <m:t>w</m:t>
                    </m:r>
                  </m:sub>
                </m:sSub>
                <m:sSubSup>
                  <m:sSubSupPr>
                    <m:ctrlPr>
                      <w:rPr>
                        <w:rFonts w:ascii="Cambria Math" w:eastAsiaTheme="minorEastAsia" w:hAnsi="Cambria Math" w:cstheme="majorBidi"/>
                        <w:i/>
                        <w:szCs w:val="24"/>
                      </w:rPr>
                    </m:ctrlPr>
                  </m:sSubSupPr>
                  <m:e>
                    <m:r>
                      <w:rPr>
                        <w:rFonts w:ascii="Cambria Math" w:eastAsiaTheme="minorEastAsia" w:hAnsi="Cambria Math" w:cstheme="majorBidi"/>
                        <w:szCs w:val="24"/>
                      </w:rPr>
                      <m:t>μ</m:t>
                    </m:r>
                  </m:e>
                  <m:sub>
                    <m:r>
                      <w:rPr>
                        <w:rFonts w:ascii="Cambria Math" w:eastAsiaTheme="minorEastAsia" w:hAnsi="Cambria Math" w:cstheme="majorBidi"/>
                        <w:szCs w:val="24"/>
                      </w:rPr>
                      <m:t>*</m:t>
                    </m:r>
                  </m:sub>
                  <m:sup>
                    <m:r>
                      <w:rPr>
                        <w:rFonts w:ascii="Cambria Math" w:eastAsiaTheme="minorEastAsia" w:hAnsi="Cambria Math" w:cstheme="majorBidi"/>
                        <w:szCs w:val="24"/>
                      </w:rPr>
                      <m:t>2</m:t>
                    </m:r>
                  </m:sup>
                </m:sSubSup>
              </m:oMath>
            </m:oMathPara>
          </w:p>
        </w:tc>
        <w:tc>
          <w:tcPr>
            <w:tcW w:w="985" w:type="dxa"/>
          </w:tcPr>
          <w:p w14:paraId="03D789F4" w14:textId="77777777" w:rsidR="000F426F" w:rsidRDefault="000F426F" w:rsidP="000D4A0A">
            <w:pPr>
              <w:rPr>
                <w:rFonts w:cstheme="majorBidi"/>
                <w:szCs w:val="24"/>
              </w:rPr>
            </w:pPr>
            <w:r>
              <w:rPr>
                <w:rFonts w:cstheme="majorBidi"/>
                <w:szCs w:val="24"/>
              </w:rPr>
              <w:t>Eq. 3</w:t>
            </w:r>
          </w:p>
        </w:tc>
      </w:tr>
    </w:tbl>
    <w:p w14:paraId="25BF9FFF" w14:textId="257D2E7E" w:rsidR="00CE2BED" w:rsidRDefault="000F426F" w:rsidP="000D4A0A">
      <w:pPr>
        <w:spacing w:line="240" w:lineRule="auto"/>
        <w:rPr>
          <w:rFonts w:eastAsiaTheme="minorEastAsia" w:cstheme="majorBidi"/>
          <w:szCs w:val="24"/>
        </w:rPr>
      </w:pPr>
      <w:r>
        <w:rPr>
          <w:rFonts w:eastAsiaTheme="minorEastAsia" w:cstheme="majorBidi"/>
          <w:szCs w:val="24"/>
        </w:rPr>
        <w:t xml:space="preserve">Where, </w:t>
      </w:r>
      <m:oMath>
        <m:sSub>
          <m:sSubPr>
            <m:ctrlPr>
              <w:rPr>
                <w:rFonts w:ascii="Cambria Math" w:eastAsiaTheme="minorEastAsia" w:hAnsi="Cambria Math" w:cstheme="majorBidi"/>
                <w:i/>
                <w:szCs w:val="24"/>
              </w:rPr>
            </m:ctrlPr>
          </m:sSubPr>
          <m:e>
            <m:r>
              <w:rPr>
                <w:rFonts w:ascii="Cambria Math" w:eastAsiaTheme="minorEastAsia" w:hAnsi="Cambria Math" w:cstheme="majorBidi"/>
                <w:szCs w:val="24"/>
              </w:rPr>
              <m:t>ρ</m:t>
            </m:r>
          </m:e>
          <m:sub>
            <m:r>
              <w:rPr>
                <w:rFonts w:ascii="Cambria Math" w:eastAsiaTheme="minorEastAsia" w:hAnsi="Cambria Math" w:cstheme="majorBidi"/>
                <w:szCs w:val="24"/>
              </w:rPr>
              <m:t>w</m:t>
            </m:r>
          </m:sub>
        </m:sSub>
      </m:oMath>
      <w:r>
        <w:rPr>
          <w:rFonts w:eastAsiaTheme="minorEastAsia" w:cstheme="majorBidi"/>
          <w:szCs w:val="24"/>
        </w:rPr>
        <w:t xml:space="preserve"> is the density of water, µ</w:t>
      </w:r>
      <w:r>
        <w:rPr>
          <w:rFonts w:eastAsiaTheme="minorEastAsia" w:cstheme="majorBidi"/>
          <w:szCs w:val="24"/>
          <w:vertAlign w:val="subscript"/>
        </w:rPr>
        <w:t>*</w:t>
      </w:r>
      <w:r>
        <w:rPr>
          <w:rFonts w:eastAsiaTheme="minorEastAsia" w:cstheme="majorBidi"/>
          <w:szCs w:val="24"/>
        </w:rPr>
        <w:t xml:space="preserve"> is the friction velocity (m/s)</w:t>
      </w:r>
      <w:r w:rsidR="009A3492">
        <w:rPr>
          <w:rFonts w:eastAsiaTheme="minorEastAsia" w:cstheme="majorBidi"/>
          <w:szCs w:val="24"/>
        </w:rPr>
        <w:t>,</w:t>
      </w:r>
      <w:r>
        <w:rPr>
          <w:rFonts w:eastAsiaTheme="minorEastAsia" w:cstheme="majorBidi"/>
          <w:szCs w:val="24"/>
        </w:rPr>
        <w:t xml:space="preserve"> which is related empirically to water velocity in flooding. </w:t>
      </w:r>
    </w:p>
    <w:p w14:paraId="258E8B2B" w14:textId="779A84A0" w:rsidR="000F426F" w:rsidRDefault="00004112" w:rsidP="000D4A0A">
      <w:pPr>
        <w:spacing w:line="240" w:lineRule="auto"/>
        <w:rPr>
          <w:rFonts w:eastAsiaTheme="minorEastAsia" w:cstheme="majorBidi"/>
          <w:szCs w:val="24"/>
        </w:rPr>
      </w:pPr>
      <w:r>
        <w:rPr>
          <w:rFonts w:eastAsiaTheme="minorEastAsia" w:cstheme="majorBidi"/>
          <w:szCs w:val="24"/>
        </w:rPr>
        <w:t>In the field of soil erosion, the erosion rate is expressed as the excess shear stress equation as below</w:t>
      </w:r>
      <w:r>
        <w:rPr>
          <w:rFonts w:eastAsiaTheme="minorEastAsia" w:cstheme="majorBidi"/>
          <w:szCs w:val="24"/>
        </w:rPr>
        <w:fldChar w:fldCharType="begin" w:fldLock="1"/>
      </w:r>
      <w:r w:rsidR="00026D6F">
        <w:rPr>
          <w:rFonts w:eastAsiaTheme="minorEastAsia" w:cstheme="majorBidi"/>
          <w:szCs w:val="24"/>
        </w:rPr>
        <w:instrText>ADDIN CSL_CITATION {"citationItems":[{"id":"ITEM-1","itemData":{"ISSN":"0167-1987","author":[{"dropping-particle":"","family":"Knapen","given":"Anke","non-dropping-particle":"","parse-names":false,"suffix":""},{"dropping-particle":"","family":"Poesen","given":"Jean","non-dropping-particle":"","parse-names":false,"suffix":""},{"dropping-particle":"","family":"Baets","given":"Sarah","non-dropping-particle":"De","parse-names":false,"suffix":""}],"container-title":"Soil and Tillage Research","id":"ITEM-1","issue":"2","issued":{"date-parts":[["2007"]]},"page":"425-440","publisher":"Elsevier","title":"Seasonal variations in soil erosion resistance during concentrated flow for a loess-derived soil under two contrasting tillage practices","type":"article-journal","volume":"94"},"uris":["http://www.mendeley.com/documents/?uuid=70c2838e-6265-4f98-9cce-ee844b7825fe"]}],"mendeley":{"formattedCitation":"&lt;sup&gt;26&lt;/sup&gt;","plainTextFormattedCitation":"26","previouslyFormattedCitation":"&lt;sup&gt;26&lt;/sup&gt;"},"properties":{"noteIndex":0},"schema":"https://github.com/citation-style-language/schema/raw/master/csl-citation.json"}</w:instrText>
      </w:r>
      <w:r>
        <w:rPr>
          <w:rFonts w:eastAsiaTheme="minorEastAsia" w:cstheme="majorBidi"/>
          <w:szCs w:val="24"/>
        </w:rPr>
        <w:fldChar w:fldCharType="separate"/>
      </w:r>
      <w:r w:rsidR="00026D6F" w:rsidRPr="00026D6F">
        <w:rPr>
          <w:rFonts w:eastAsiaTheme="minorEastAsia" w:cstheme="majorBidi"/>
          <w:noProof/>
          <w:szCs w:val="24"/>
          <w:vertAlign w:val="superscript"/>
        </w:rPr>
        <w:t>26</w:t>
      </w:r>
      <w:r>
        <w:rPr>
          <w:rFonts w:eastAsiaTheme="minorEastAsia" w:cstheme="majorBidi"/>
          <w:szCs w:val="24"/>
        </w:rPr>
        <w:fldChar w:fldCharType="end"/>
      </w:r>
      <w:r w:rsidR="00CE2BED">
        <w:rPr>
          <w:rFonts w:eastAsiaTheme="minorEastAsia" w:cstheme="majorBidi"/>
          <w:szCs w:val="24"/>
        </w:rPr>
        <w:t>:</w:t>
      </w:r>
      <w:r w:rsidR="000F426F">
        <w:rPr>
          <w:rFonts w:eastAsiaTheme="minorEastAsia" w:cstheme="majorBidi"/>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895"/>
      </w:tblGrid>
      <w:tr w:rsidR="000F426F" w14:paraId="1934BD76" w14:textId="77777777" w:rsidTr="00EE5C99">
        <w:tc>
          <w:tcPr>
            <w:tcW w:w="8455" w:type="dxa"/>
          </w:tcPr>
          <w:p w14:paraId="687DC7C3" w14:textId="3A2766D2" w:rsidR="000F426F" w:rsidRPr="00914EDC" w:rsidRDefault="00CE2BED" w:rsidP="000D4A0A">
            <w:pPr>
              <w:rPr>
                <w:rFonts w:cstheme="majorBidi"/>
                <w:szCs w:val="24"/>
              </w:rPr>
            </w:pPr>
            <m:oMathPara>
              <m:oMath>
                <m:r>
                  <w:rPr>
                    <w:rFonts w:ascii="Cambria Math" w:hAnsi="Cambria Math" w:cstheme="majorBidi"/>
                    <w:szCs w:val="24"/>
                  </w:rPr>
                  <m:t>ε=</m:t>
                </m:r>
                <m:sSup>
                  <m:sSupPr>
                    <m:ctrlPr>
                      <w:rPr>
                        <w:rFonts w:ascii="Cambria Math" w:hAnsi="Cambria Math" w:cstheme="majorBidi"/>
                        <w:i/>
                        <w:szCs w:val="24"/>
                      </w:rPr>
                    </m:ctrlPr>
                  </m:sSupPr>
                  <m:e>
                    <m:sSub>
                      <m:sSubPr>
                        <m:ctrlPr>
                          <w:rPr>
                            <w:rFonts w:ascii="Cambria Math" w:hAnsi="Cambria Math" w:cstheme="majorBidi"/>
                            <w:i/>
                            <w:szCs w:val="24"/>
                          </w:rPr>
                        </m:ctrlPr>
                      </m:sSubPr>
                      <m:e>
                        <m:r>
                          <w:rPr>
                            <w:rFonts w:ascii="Cambria Math" w:hAnsi="Cambria Math" w:cstheme="majorBidi"/>
                            <w:szCs w:val="24"/>
                          </w:rPr>
                          <m:t>k</m:t>
                        </m:r>
                      </m:e>
                      <m:sub>
                        <m:r>
                          <w:rPr>
                            <w:rFonts w:ascii="Cambria Math" w:hAnsi="Cambria Math" w:cstheme="majorBidi"/>
                            <w:szCs w:val="24"/>
                          </w:rPr>
                          <m:t>d</m:t>
                        </m:r>
                      </m:sub>
                    </m:sSub>
                    <m:r>
                      <w:rPr>
                        <w:rFonts w:ascii="Cambria Math" w:hAnsi="Cambria Math" w:cstheme="majorBidi"/>
                        <w:szCs w:val="24"/>
                      </w:rPr>
                      <m:t>(</m:t>
                    </m:r>
                    <m:sSub>
                      <m:sSubPr>
                        <m:ctrlPr>
                          <w:rPr>
                            <w:rFonts w:ascii="Cambria Math" w:hAnsi="Cambria Math" w:cstheme="majorBidi"/>
                            <w:i/>
                            <w:szCs w:val="24"/>
                          </w:rPr>
                        </m:ctrlPr>
                      </m:sSubPr>
                      <m:e>
                        <m:r>
                          <w:rPr>
                            <w:rFonts w:ascii="Cambria Math" w:hAnsi="Cambria Math" w:cstheme="majorBidi"/>
                            <w:szCs w:val="24"/>
                          </w:rPr>
                          <m:t>τ</m:t>
                        </m:r>
                      </m:e>
                      <m:sub>
                        <m:r>
                          <w:rPr>
                            <w:rFonts w:ascii="Cambria Math" w:hAnsi="Cambria Math" w:cstheme="majorBidi"/>
                            <w:szCs w:val="24"/>
                          </w:rPr>
                          <m:t>a</m:t>
                        </m:r>
                      </m:sub>
                    </m:sSub>
                    <m:sSub>
                      <m:sSubPr>
                        <m:ctrlPr>
                          <w:rPr>
                            <w:rFonts w:ascii="Cambria Math" w:hAnsi="Cambria Math" w:cstheme="majorBidi"/>
                            <w:i/>
                            <w:szCs w:val="24"/>
                          </w:rPr>
                        </m:ctrlPr>
                      </m:sSubPr>
                      <m:e>
                        <m:r>
                          <w:rPr>
                            <w:rFonts w:ascii="Cambria Math" w:hAnsi="Cambria Math" w:cstheme="majorBidi"/>
                            <w:szCs w:val="24"/>
                          </w:rPr>
                          <m:t>-τ</m:t>
                        </m:r>
                      </m:e>
                      <m:sub>
                        <m:r>
                          <w:rPr>
                            <w:rFonts w:ascii="Cambria Math" w:hAnsi="Cambria Math" w:cstheme="majorBidi"/>
                            <w:szCs w:val="24"/>
                          </w:rPr>
                          <m:t>c</m:t>
                        </m:r>
                      </m:sub>
                    </m:sSub>
                    <m:r>
                      <w:rPr>
                        <w:rFonts w:ascii="Cambria Math" w:hAnsi="Cambria Math" w:cstheme="majorBidi"/>
                        <w:szCs w:val="24"/>
                      </w:rPr>
                      <m:t>)</m:t>
                    </m:r>
                  </m:e>
                  <m:sup>
                    <m:r>
                      <w:rPr>
                        <w:rFonts w:ascii="Cambria Math" w:hAnsi="Cambria Math" w:cstheme="majorBidi"/>
                        <w:szCs w:val="24"/>
                      </w:rPr>
                      <m:t>a</m:t>
                    </m:r>
                  </m:sup>
                </m:sSup>
              </m:oMath>
            </m:oMathPara>
          </w:p>
        </w:tc>
        <w:tc>
          <w:tcPr>
            <w:tcW w:w="895" w:type="dxa"/>
          </w:tcPr>
          <w:p w14:paraId="3C656732" w14:textId="77777777" w:rsidR="000F426F" w:rsidRDefault="000F426F" w:rsidP="000D4A0A">
            <w:pPr>
              <w:rPr>
                <w:rFonts w:eastAsiaTheme="minorEastAsia" w:cstheme="majorBidi"/>
                <w:szCs w:val="24"/>
              </w:rPr>
            </w:pPr>
            <w:r>
              <w:rPr>
                <w:rFonts w:eastAsiaTheme="minorEastAsia" w:cstheme="majorBidi"/>
                <w:szCs w:val="24"/>
              </w:rPr>
              <w:t>Eq. 4</w:t>
            </w:r>
          </w:p>
        </w:tc>
      </w:tr>
      <w:tr w:rsidR="000F426F" w14:paraId="5E51A39D" w14:textId="77777777" w:rsidTr="00EE5C99">
        <w:tc>
          <w:tcPr>
            <w:tcW w:w="8455" w:type="dxa"/>
          </w:tcPr>
          <w:p w14:paraId="1755189C" w14:textId="77777777" w:rsidR="000F426F" w:rsidRDefault="000F426F" w:rsidP="000D4A0A">
            <w:pPr>
              <w:rPr>
                <w:rFonts w:ascii="Times New Roman" w:eastAsia="Times New Roman" w:hAnsi="Times New Roman" w:cs="Times New Roman"/>
                <w:szCs w:val="24"/>
              </w:rPr>
            </w:pPr>
          </w:p>
        </w:tc>
        <w:tc>
          <w:tcPr>
            <w:tcW w:w="895" w:type="dxa"/>
          </w:tcPr>
          <w:p w14:paraId="369DC9C0" w14:textId="77777777" w:rsidR="000F426F" w:rsidRDefault="000F426F" w:rsidP="000D4A0A">
            <w:pPr>
              <w:rPr>
                <w:rFonts w:eastAsiaTheme="minorEastAsia" w:cstheme="majorBidi"/>
                <w:szCs w:val="24"/>
              </w:rPr>
            </w:pPr>
          </w:p>
        </w:tc>
      </w:tr>
    </w:tbl>
    <w:p w14:paraId="730395DD" w14:textId="757E9F59" w:rsidR="00CE2BED" w:rsidRDefault="00CE2BED" w:rsidP="000D4A0A">
      <w:pPr>
        <w:spacing w:line="240" w:lineRule="auto"/>
        <w:rPr>
          <w:rFonts w:cstheme="majorBidi"/>
          <w:szCs w:val="24"/>
        </w:rPr>
      </w:pPr>
      <w:r>
        <w:rPr>
          <w:rFonts w:cstheme="majorBidi"/>
          <w:szCs w:val="24"/>
        </w:rPr>
        <w:t xml:space="preserve">Where </w:t>
      </w:r>
      <w:proofErr w:type="spellStart"/>
      <w:r w:rsidRPr="00CE2BED">
        <w:rPr>
          <w:rFonts w:cstheme="majorBidi"/>
          <w:i/>
          <w:iCs/>
          <w:szCs w:val="24"/>
        </w:rPr>
        <w:t>k</w:t>
      </w:r>
      <w:r w:rsidRPr="00CE2BED">
        <w:rPr>
          <w:rFonts w:cstheme="majorBidi"/>
          <w:i/>
          <w:iCs/>
          <w:szCs w:val="24"/>
          <w:vertAlign w:val="subscript"/>
        </w:rPr>
        <w:t>d</w:t>
      </w:r>
      <w:proofErr w:type="spellEnd"/>
      <w:r>
        <w:rPr>
          <w:rFonts w:cstheme="majorBidi"/>
          <w:szCs w:val="24"/>
        </w:rPr>
        <w:t xml:space="preserve"> is </w:t>
      </w:r>
      <w:r w:rsidRPr="00CE2BED">
        <w:rPr>
          <w:rFonts w:cstheme="majorBidi"/>
          <w:szCs w:val="24"/>
        </w:rPr>
        <w:t>the erodibility coefficient obtained from laboratory tests.</w:t>
      </w:r>
      <w:r w:rsidR="00C70391">
        <w:rPr>
          <w:rFonts w:cstheme="majorBidi"/>
          <w:szCs w:val="24"/>
        </w:rPr>
        <w:t xml:space="preserve"> Also, </w:t>
      </w:r>
      <w:r w:rsidR="00C70391" w:rsidRPr="00C70391">
        <w:rPr>
          <w:rFonts w:cstheme="majorBidi"/>
          <w:szCs w:val="24"/>
        </w:rPr>
        <w:t>exponent a (dimensionless) is often taken to be 1.0</w:t>
      </w:r>
      <w:r w:rsidR="00C70391">
        <w:rPr>
          <w:rFonts w:cstheme="majorBidi"/>
          <w:szCs w:val="24"/>
        </w:rPr>
        <w:fldChar w:fldCharType="begin" w:fldLock="1"/>
      </w:r>
      <w:r w:rsidR="00C70391">
        <w:rPr>
          <w:rFonts w:cstheme="majorBidi"/>
          <w:szCs w:val="24"/>
        </w:rPr>
        <w:instrText>ADDIN CSL_CITATION {"citationItems":[{"id":"ITEM-1","itemData":{"ISSN":"2045-2322","author":[{"dropping-particle":"","family":"Yuan","given":"Xingyu","non-dropping-particle":"","parse-names":false,"suffix":""},{"dropping-particle":"","family":"Ye","given":"Fei","non-dropping-particle":"","parse-names":false,"suffix":""},{"dropping-particle":"","family":"Fu","given":"Wenxi","non-dropping-particle":"","parse-names":false,"suffix":""},{"dropping-particle":"","family":"Wen","given":"Lina","non-dropping-particle":"","parse-names":false,"suffix":""}],"container-title":"Scientific Reports","id":"ITEM-1","issue":"1","issued":{"date-parts":[["2022"]]},"page":"9736","publisher":"Nature Publishing Group UK London","title":"Estimating the critical shear stress for incipient particle motion of a cohesive soil slope","type":"article-journal","volume":"12"},"uris":["http://www.mendeley.com/documents/?uuid=4ab1eda1-8405-49a2-acf0-472f7176d239"]}],"mendeley":{"formattedCitation":"&lt;sup&gt;24&lt;/sup&gt;","plainTextFormattedCitation":"24"},"properties":{"noteIndex":0},"schema":"https://github.com/citation-style-language/schema/raw/master/csl-citation.json"}</w:instrText>
      </w:r>
      <w:r w:rsidR="00C70391">
        <w:rPr>
          <w:rFonts w:cstheme="majorBidi"/>
          <w:szCs w:val="24"/>
        </w:rPr>
        <w:fldChar w:fldCharType="separate"/>
      </w:r>
      <w:r w:rsidR="00C70391" w:rsidRPr="00C70391">
        <w:rPr>
          <w:rFonts w:cstheme="majorBidi"/>
          <w:noProof/>
          <w:szCs w:val="24"/>
          <w:vertAlign w:val="superscript"/>
        </w:rPr>
        <w:t>24</w:t>
      </w:r>
      <w:r w:rsidR="00C70391">
        <w:rPr>
          <w:rFonts w:cstheme="majorBidi"/>
          <w:szCs w:val="24"/>
        </w:rPr>
        <w:fldChar w:fldCharType="end"/>
      </w:r>
      <w:r w:rsidR="00C70391" w:rsidRPr="00C70391">
        <w:rPr>
          <w:rFonts w:cstheme="majorBidi"/>
          <w:szCs w:val="24"/>
        </w:rPr>
        <w:t>.</w:t>
      </w:r>
      <w:r w:rsidR="00C70391">
        <w:rPr>
          <w:rFonts w:cstheme="majorBidi"/>
          <w:szCs w:val="24"/>
        </w:rPr>
        <w:t xml:space="preserve"> </w:t>
      </w:r>
      <w:r w:rsidR="00C70391" w:rsidRPr="00C70391">
        <w:rPr>
          <w:rFonts w:cstheme="majorBidi"/>
          <w:szCs w:val="24"/>
        </w:rPr>
        <w:t xml:space="preserve">Both </w:t>
      </w:r>
      <w:proofErr w:type="spellStart"/>
      <w:r w:rsidR="00C70391" w:rsidRPr="00C70391">
        <w:rPr>
          <w:rFonts w:cstheme="majorBidi"/>
          <w:szCs w:val="24"/>
        </w:rPr>
        <w:t>k</w:t>
      </w:r>
      <w:r w:rsidR="00C70391" w:rsidRPr="00C70391">
        <w:rPr>
          <w:rFonts w:cstheme="majorBidi"/>
          <w:szCs w:val="24"/>
          <w:vertAlign w:val="subscript"/>
        </w:rPr>
        <w:t>d</w:t>
      </w:r>
      <w:proofErr w:type="spellEnd"/>
      <w:r w:rsidR="00C70391" w:rsidRPr="00C70391">
        <w:rPr>
          <w:rFonts w:cstheme="majorBidi"/>
          <w:szCs w:val="24"/>
        </w:rPr>
        <w:t xml:space="preserve"> and </w:t>
      </w:r>
      <w:proofErr w:type="spellStart"/>
      <w:r w:rsidR="00C70391" w:rsidRPr="00C70391">
        <w:rPr>
          <w:rFonts w:cstheme="majorBidi"/>
          <w:szCs w:val="24"/>
        </w:rPr>
        <w:t>τ</w:t>
      </w:r>
      <w:r w:rsidR="00C70391" w:rsidRPr="00C70391">
        <w:rPr>
          <w:rFonts w:cstheme="majorBidi"/>
          <w:szCs w:val="24"/>
          <w:vertAlign w:val="subscript"/>
        </w:rPr>
        <w:t>c</w:t>
      </w:r>
      <w:proofErr w:type="spellEnd"/>
      <w:r w:rsidR="00C70391" w:rsidRPr="00C70391">
        <w:rPr>
          <w:rFonts w:cstheme="majorBidi"/>
          <w:szCs w:val="24"/>
        </w:rPr>
        <w:t xml:space="preserve"> should ideally be obtained from erosion testing of the actual untreated or treated material.</w:t>
      </w:r>
    </w:p>
    <w:p w14:paraId="43F1A5C4" w14:textId="7255E63F" w:rsidR="00CE2BED" w:rsidRDefault="009A3492" w:rsidP="000D4A0A">
      <w:pPr>
        <w:spacing w:line="240" w:lineRule="auto"/>
      </w:pPr>
      <w:r w:rsidRPr="009A3492">
        <w:rPr>
          <w:rFonts w:cstheme="majorBidi"/>
          <w:szCs w:val="24"/>
        </w:rPr>
        <w:t>Given the calculated erosion rate, the erosion depth of a pavement subjected to flooding can be estimated based on the duration of inundation. Simulation results, illustrated in Figure 3, demonstrate that lime-treated base and subbase layers provide significantly greater resistance to erosion under various flood conditions compared to untreated granular soils. As flood velocity and angle of attack increase, the erosion rate for untreated soil rises sharply, reaching a peak of 0.02976 kg/m²</w:t>
      </w:r>
      <w:r w:rsidR="00E65898">
        <w:rPr>
          <w:rFonts w:cstheme="majorBidi"/>
          <w:szCs w:val="24"/>
        </w:rPr>
        <w:t>.</w:t>
      </w:r>
      <w:r w:rsidRPr="009A3492">
        <w:rPr>
          <w:rFonts w:cstheme="majorBidi"/>
          <w:szCs w:val="24"/>
        </w:rPr>
        <w:t>s at a flood speed of 3.5 m/s and a 90° angle. In contrast, lime-treated layers exhibit much lower erosion rates, with the maximum observed value being only 0.00621 kg/m</w:t>
      </w:r>
      <w:proofErr w:type="gramStart"/>
      <w:r w:rsidRPr="009A3492">
        <w:rPr>
          <w:rFonts w:cstheme="majorBidi"/>
          <w:szCs w:val="24"/>
        </w:rPr>
        <w:t>²</w:t>
      </w:r>
      <w:r w:rsidR="00E65898">
        <w:rPr>
          <w:rFonts w:cstheme="majorBidi"/>
          <w:szCs w:val="24"/>
        </w:rPr>
        <w:t>.</w:t>
      </w:r>
      <w:r w:rsidRPr="009A3492">
        <w:rPr>
          <w:rFonts w:cstheme="majorBidi"/>
          <w:szCs w:val="24"/>
        </w:rPr>
        <w:t>s</w:t>
      </w:r>
      <w:proofErr w:type="gramEnd"/>
      <w:r w:rsidRPr="009A3492">
        <w:rPr>
          <w:rFonts w:cstheme="majorBidi"/>
          <w:szCs w:val="24"/>
        </w:rPr>
        <w:t xml:space="preserve"> under the same conditions. These findings highlight the effectiveness of lime stabilization in mitigating erosion-related pavement failures during extreme flooding events</w:t>
      </w:r>
      <w:r w:rsidR="000F426F" w:rsidRPr="00914EDC">
        <w:rPr>
          <w:rFonts w:cstheme="majorBidi"/>
          <w:szCs w:val="24"/>
        </w:rPr>
        <w:t>.</w:t>
      </w:r>
      <w:r w:rsidR="000F426F" w:rsidRPr="00914EDC">
        <w:t xml:space="preserve"> </w:t>
      </w:r>
    </w:p>
    <w:p w14:paraId="60363B74" w14:textId="58A667DD" w:rsidR="00CE2BED" w:rsidRDefault="000F426F" w:rsidP="000D4A0A">
      <w:pPr>
        <w:spacing w:line="240" w:lineRule="auto"/>
      </w:pPr>
      <w:r>
        <w:t>These findings underscore the importance of using treated base or subbase layers to improve the resilience of road infrastructure in areas with potential flooding</w:t>
      </w:r>
      <w:r w:rsidR="005D4589">
        <w:t xml:space="preserve"> hazards</w:t>
      </w:r>
      <w:r>
        <w:t xml:space="preserve">. By reinforcing the base and subbase layers with treated materials, the damage caused by floodwaters can be </w:t>
      </w:r>
      <w:r w:rsidR="005D4589">
        <w:t>significantly</w:t>
      </w:r>
      <w:r>
        <w:t xml:space="preserve"> mitigated</w:t>
      </w:r>
      <w:r w:rsidR="00070422">
        <w:t xml:space="preserve">, </w:t>
      </w:r>
      <w:r>
        <w:t xml:space="preserve">making roads more resilient and prolonging their service life under extreme weather events. </w:t>
      </w:r>
      <w:r w:rsidR="005D4589" w:rsidRPr="005D4589">
        <w:t xml:space="preserve">Additionally, to prevent washouts, geomembranes or geogrids can be integrated into the base and subbase soils alongside these treatments. Geomembranes act as impermeable barriers, reducing water infiltration into the subgrade, while geogrids provide </w:t>
      </w:r>
      <w:r w:rsidR="005D4589" w:rsidRPr="005D4589">
        <w:lastRenderedPageBreak/>
        <w:t>tensile reinforcement, improving soil load-bearing capacity and resistance to erosion</w:t>
      </w:r>
      <w:r w:rsidR="00294A9F">
        <w:fldChar w:fldCharType="begin" w:fldLock="1"/>
      </w:r>
      <w:r w:rsidR="00026D6F">
        <w:instrText>ADDIN CSL_CITATION {"citationItems":[{"id":"ITEM-1","itemData":{"ISSN":"0950-0618","author":[{"dropping-particle":"","family":"Madrazo-Uribeetxebarria","given":"Eneko","non-dropping-particle":"","parse-names":false,"suffix":""},{"dropping-particle":"","family":"Antín","given":"Maddi Garmendia","non-dropping-particle":"","parse-names":false,"suffix":""},{"dropping-particle":"","family":"Eguilegor","given":"Gorka Alberro","non-dropping-particle":"","parse-names":false,"suffix":""},{"dropping-particle":"","family":"Andrés-Doménech","given":"Ignacio","non-dropping-particle":"","parse-names":false,"suffix":""}],"container-title":"Construction and Building Materials","id":"ITEM-1","issued":{"date-parts":[["2023"]]},"page":"131587","publisher":"Elsevier","title":"Analysis of the hydraulic performance of permeable pavements on a layer-by-layer basis","type":"article-journal","volume":"387"},"uris":["http://www.mendeley.com/documents/?uuid=81bdecc6-7467-4d9f-84d7-47489ddc3810"]}],"mendeley":{"formattedCitation":"&lt;sup&gt;27&lt;/sup&gt;","plainTextFormattedCitation":"27","previouslyFormattedCitation":"&lt;sup&gt;27&lt;/sup&gt;"},"properties":{"noteIndex":0},"schema":"https://github.com/citation-style-language/schema/raw/master/csl-citation.json"}</w:instrText>
      </w:r>
      <w:r w:rsidR="00294A9F">
        <w:fldChar w:fldCharType="separate"/>
      </w:r>
      <w:r w:rsidR="00026D6F" w:rsidRPr="00026D6F">
        <w:rPr>
          <w:noProof/>
          <w:vertAlign w:val="superscript"/>
        </w:rPr>
        <w:t>27</w:t>
      </w:r>
      <w:r w:rsidR="00294A9F">
        <w:fldChar w:fldCharType="end"/>
      </w:r>
      <w:r w:rsidR="00294A9F">
        <w:t>.</w:t>
      </w:r>
      <w:r w:rsidR="00CE2BED">
        <w:t xml:space="preserve"> </w:t>
      </w:r>
      <w:r w:rsidR="004538B9" w:rsidRPr="004538B9">
        <w:t>Integrating these materials reinforces the structural integrity of pavement layers, providing increased resistance against severe flooding events.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7"/>
        <w:gridCol w:w="4812"/>
      </w:tblGrid>
      <w:tr w:rsidR="0064610D" w14:paraId="659ED4A0" w14:textId="77777777" w:rsidTr="0083050C">
        <w:tc>
          <w:tcPr>
            <w:tcW w:w="4726" w:type="dxa"/>
          </w:tcPr>
          <w:p w14:paraId="0ADBB402" w14:textId="26924795" w:rsidR="0064610D" w:rsidRDefault="0064610D" w:rsidP="000D4A0A">
            <w:pPr>
              <w:keepNext/>
              <w:jc w:val="center"/>
            </w:pPr>
            <w:r>
              <w:rPr>
                <w:noProof/>
              </w:rPr>
              <w:drawing>
                <wp:inline distT="0" distB="0" distL="0" distR="0" wp14:anchorId="5534EC60" wp14:editId="05D44556">
                  <wp:extent cx="2978957" cy="1724591"/>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8510" cy="1735911"/>
                          </a:xfrm>
                          <a:prstGeom prst="rect">
                            <a:avLst/>
                          </a:prstGeom>
                          <a:noFill/>
                        </pic:spPr>
                      </pic:pic>
                    </a:graphicData>
                  </a:graphic>
                </wp:inline>
              </w:drawing>
            </w:r>
          </w:p>
        </w:tc>
        <w:tc>
          <w:tcPr>
            <w:tcW w:w="4634" w:type="dxa"/>
          </w:tcPr>
          <w:p w14:paraId="29957463" w14:textId="74BB93D4" w:rsidR="0064610D" w:rsidRDefault="0064610D" w:rsidP="000D4A0A">
            <w:pPr>
              <w:keepNext/>
              <w:jc w:val="center"/>
            </w:pPr>
            <w:r>
              <w:rPr>
                <w:noProof/>
              </w:rPr>
              <w:drawing>
                <wp:inline distT="0" distB="0" distL="0" distR="0" wp14:anchorId="17BE7602" wp14:editId="535753BE">
                  <wp:extent cx="2918986" cy="1802372"/>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7448" cy="1826121"/>
                          </a:xfrm>
                          <a:prstGeom prst="rect">
                            <a:avLst/>
                          </a:prstGeom>
                          <a:noFill/>
                        </pic:spPr>
                      </pic:pic>
                    </a:graphicData>
                  </a:graphic>
                </wp:inline>
              </w:drawing>
            </w:r>
          </w:p>
        </w:tc>
      </w:tr>
      <w:tr w:rsidR="0064610D" w14:paraId="46D1C0DB" w14:textId="77777777" w:rsidTr="0083050C">
        <w:tc>
          <w:tcPr>
            <w:tcW w:w="4726" w:type="dxa"/>
          </w:tcPr>
          <w:p w14:paraId="194FF616" w14:textId="5C340B46" w:rsidR="0064610D" w:rsidRDefault="0064610D" w:rsidP="000D4A0A">
            <w:pPr>
              <w:keepNext/>
              <w:jc w:val="center"/>
            </w:pPr>
            <w:r>
              <w:t xml:space="preserve">           (a)</w:t>
            </w:r>
          </w:p>
        </w:tc>
        <w:tc>
          <w:tcPr>
            <w:tcW w:w="4634" w:type="dxa"/>
          </w:tcPr>
          <w:p w14:paraId="2BA07C6A" w14:textId="01168A45" w:rsidR="0064610D" w:rsidRDefault="0064610D" w:rsidP="000D4A0A">
            <w:pPr>
              <w:keepNext/>
              <w:jc w:val="center"/>
            </w:pPr>
            <w:r>
              <w:t xml:space="preserve">                 (b)</w:t>
            </w:r>
          </w:p>
        </w:tc>
      </w:tr>
    </w:tbl>
    <w:p w14:paraId="5087E1DA" w14:textId="6EFEB78B" w:rsidR="000F426F" w:rsidRDefault="000F426F" w:rsidP="000D4A0A">
      <w:pPr>
        <w:keepNext/>
        <w:spacing w:line="240" w:lineRule="auto"/>
        <w:jc w:val="center"/>
      </w:pPr>
    </w:p>
    <w:p w14:paraId="07F057EB" w14:textId="4D6C7344" w:rsidR="000F426F" w:rsidRDefault="000F426F" w:rsidP="000D4A0A">
      <w:pPr>
        <w:pStyle w:val="Caption"/>
        <w:jc w:val="center"/>
      </w:pPr>
      <w:r>
        <w:t xml:space="preserve">Figure </w:t>
      </w:r>
      <w:r w:rsidR="000D4A0A">
        <w:fldChar w:fldCharType="begin"/>
      </w:r>
      <w:r w:rsidR="000D4A0A">
        <w:instrText xml:space="preserve"> SEQ Figure \* ARABIC </w:instrText>
      </w:r>
      <w:r w:rsidR="000D4A0A">
        <w:fldChar w:fldCharType="separate"/>
      </w:r>
      <w:r w:rsidR="001462DF">
        <w:rPr>
          <w:noProof/>
        </w:rPr>
        <w:t>3</w:t>
      </w:r>
      <w:r w:rsidR="000D4A0A">
        <w:rPr>
          <w:noProof/>
        </w:rPr>
        <w:fldChar w:fldCharType="end"/>
      </w:r>
      <w:r>
        <w:t xml:space="preserve">. Flooding erosion rate </w:t>
      </w:r>
      <w:r w:rsidR="00006E53">
        <w:t>at (a)</w:t>
      </w:r>
      <w:r>
        <w:t xml:space="preserve"> different pavement base and subbase materials</w:t>
      </w:r>
      <w:r w:rsidR="00006E53">
        <w:t xml:space="preserve">; (b) different flood </w:t>
      </w:r>
      <w:r w:rsidR="00403933">
        <w:t>velocities</w:t>
      </w:r>
      <w:r w:rsidR="00006E53">
        <w:t>.</w:t>
      </w:r>
    </w:p>
    <w:p w14:paraId="30753626" w14:textId="34ADBEAF" w:rsidR="00FE14D4" w:rsidRDefault="00D648E7" w:rsidP="000D4A0A">
      <w:pPr>
        <w:pStyle w:val="Heading1"/>
        <w:spacing w:line="240" w:lineRule="auto"/>
      </w:pPr>
      <w:r w:rsidRPr="007A6B36">
        <w:t xml:space="preserve">Challenge </w:t>
      </w:r>
      <w:r w:rsidR="000F426F">
        <w:t>2</w:t>
      </w:r>
      <w:r w:rsidRPr="007A6B36">
        <w:t xml:space="preserve">: Extreme </w:t>
      </w:r>
      <w:r w:rsidR="006D103A" w:rsidRPr="007A6B36">
        <w:t>Temperature Variations</w:t>
      </w:r>
      <w:r w:rsidRPr="007A6B36">
        <w:t xml:space="preserve"> and Pavement Performance</w:t>
      </w:r>
    </w:p>
    <w:p w14:paraId="3828C73B" w14:textId="6C98A9AF" w:rsidR="006D103A" w:rsidRPr="00FE14D4" w:rsidRDefault="00FE14D4" w:rsidP="000D4A0A">
      <w:pPr>
        <w:pStyle w:val="Heading2"/>
        <w:spacing w:line="240" w:lineRule="auto"/>
      </w:pPr>
      <w:r>
        <w:t>A</w:t>
      </w:r>
      <w:r w:rsidRPr="00FE14D4">
        <w:t>ssessment</w:t>
      </w:r>
    </w:p>
    <w:p w14:paraId="093BA523" w14:textId="5C8686CB" w:rsidR="00D648E7" w:rsidRPr="007A6B36" w:rsidRDefault="00662623" w:rsidP="000D4A0A">
      <w:pPr>
        <w:spacing w:line="240" w:lineRule="auto"/>
        <w:rPr>
          <w:rFonts w:cstheme="majorBidi"/>
          <w:szCs w:val="24"/>
        </w:rPr>
      </w:pPr>
      <w:r>
        <w:rPr>
          <w:rFonts w:cstheme="majorBidi"/>
          <w:szCs w:val="24"/>
        </w:rPr>
        <w:t>Weather information is one of the key inputs in road design</w:t>
      </w:r>
      <w:r w:rsidR="000971F1" w:rsidRPr="000971F1">
        <w:rPr>
          <w:rFonts w:cstheme="majorBidi"/>
          <w:szCs w:val="24"/>
        </w:rPr>
        <w:t>.</w:t>
      </w:r>
      <w:r>
        <w:rPr>
          <w:rFonts w:cstheme="majorBidi"/>
          <w:szCs w:val="24"/>
        </w:rPr>
        <w:t xml:space="preserve"> For instance,</w:t>
      </w:r>
      <w:r w:rsidR="000971F1" w:rsidRPr="000971F1">
        <w:rPr>
          <w:rFonts w:cstheme="majorBidi"/>
          <w:szCs w:val="24"/>
        </w:rPr>
        <w:t xml:space="preserve"> </w:t>
      </w:r>
      <w:r>
        <w:rPr>
          <w:rFonts w:cstheme="majorBidi"/>
          <w:szCs w:val="24"/>
        </w:rPr>
        <w:t>the current method f</w:t>
      </w:r>
      <w:r w:rsidR="000971F1" w:rsidRPr="000971F1">
        <w:rPr>
          <w:rFonts w:cstheme="majorBidi"/>
          <w:szCs w:val="24"/>
        </w:rPr>
        <w:t xml:space="preserve">or selecting asphalt binder Performance Grades (PGs), such as the Superpave system, </w:t>
      </w:r>
      <w:r>
        <w:rPr>
          <w:rFonts w:cstheme="majorBidi"/>
          <w:szCs w:val="24"/>
        </w:rPr>
        <w:t>relies</w:t>
      </w:r>
      <w:r w:rsidR="000971F1" w:rsidRPr="000971F1">
        <w:rPr>
          <w:rFonts w:cstheme="majorBidi"/>
          <w:szCs w:val="24"/>
        </w:rPr>
        <w:t xml:space="preserve"> heavily on historical climate data to estimate pavement operating temperatures. This approach assumes that future temperature patterns will mirror past trends, an assumption increasingly invalidated by ongoing climatic shifts</w:t>
      </w:r>
      <w:r w:rsidR="00ED4488">
        <w:rPr>
          <w:rFonts w:cstheme="majorBidi"/>
          <w:szCs w:val="24"/>
        </w:rPr>
        <w:fldChar w:fldCharType="begin" w:fldLock="1"/>
      </w:r>
      <w:r w:rsidR="00026D6F">
        <w:rPr>
          <w:rFonts w:cstheme="majorBidi"/>
          <w:szCs w:val="24"/>
        </w:rPr>
        <w:instrText>ADDIN CSL_CITATION {"citationItems":[{"id":"ITEM-1","itemData":{"ISSN":"1468-0629","author":[{"dropping-particle":"","family":"Delgadillo","given":"Rodrigo","non-dropping-particle":"","parse-names":false,"suffix":""},{"dropping-particle":"","family":"Arteaga","given":"Leandro","non-dropping-particle":"","parse-names":false,"suffix":""},{"dropping-particle":"","family":"Wahr","given":"Carlos","non-dropping-particle":"","parse-names":false,"suffix":""},{"dropping-particle":"","family":"Alcafuz","given":"Ricardo","non-dropping-particle":"","parse-names":false,"suffix":""}],"container-title":"Road Materials and Pavement Design","id":"ITEM-1","issue":"3","issued":{"date-parts":[["2020"]]},"page":"607-622","publisher":"Taylor &amp; Francis","title":"The influence of climate change in Superpave binder selection for Chile","type":"article-journal","volume":"21"},"uris":["http://www.mendeley.com/documents/?uuid=4c5fa821-61aa-452e-9cca-5f2205764bd7"]}],"mendeley":{"formattedCitation":"&lt;sup&gt;28&lt;/sup&gt;","plainTextFormattedCitation":"28","previouslyFormattedCitation":"&lt;sup&gt;28&lt;/sup&gt;"},"properties":{"noteIndex":0},"schema":"https://github.com/citation-style-language/schema/raw/master/csl-citation.json"}</w:instrText>
      </w:r>
      <w:r w:rsidR="00ED4488">
        <w:rPr>
          <w:rFonts w:cstheme="majorBidi"/>
          <w:szCs w:val="24"/>
        </w:rPr>
        <w:fldChar w:fldCharType="separate"/>
      </w:r>
      <w:r w:rsidR="00026D6F" w:rsidRPr="00026D6F">
        <w:rPr>
          <w:rFonts w:cstheme="majorBidi"/>
          <w:noProof/>
          <w:szCs w:val="24"/>
          <w:vertAlign w:val="superscript"/>
        </w:rPr>
        <w:t>28</w:t>
      </w:r>
      <w:r w:rsidR="00ED4488">
        <w:rPr>
          <w:rFonts w:cstheme="majorBidi"/>
          <w:szCs w:val="24"/>
        </w:rPr>
        <w:fldChar w:fldCharType="end"/>
      </w:r>
      <w:r w:rsidR="00D648E7" w:rsidRPr="007A6B36">
        <w:rPr>
          <w:rFonts w:cstheme="majorBidi"/>
          <w:szCs w:val="24"/>
        </w:rPr>
        <w:t xml:space="preserve">. Consequently, the continued use of outdated climate records leads to inappropriate </w:t>
      </w:r>
      <w:r w:rsidR="00ED4488">
        <w:rPr>
          <w:rFonts w:cstheme="majorBidi"/>
          <w:szCs w:val="24"/>
        </w:rPr>
        <w:t xml:space="preserve">asphalt </w:t>
      </w:r>
      <w:r w:rsidR="00D648E7" w:rsidRPr="007A6B36">
        <w:rPr>
          <w:rFonts w:cstheme="majorBidi"/>
          <w:szCs w:val="24"/>
        </w:rPr>
        <w:t>binder selections, compromising pavement longevity and performance under current and future conditions.</w:t>
      </w:r>
    </w:p>
    <w:p w14:paraId="5E6A32F1" w14:textId="6538B3BC" w:rsidR="00D648E7" w:rsidRDefault="00124E8D" w:rsidP="000D4A0A">
      <w:pPr>
        <w:spacing w:line="240" w:lineRule="auto"/>
        <w:rPr>
          <w:rFonts w:cstheme="majorBidi"/>
          <w:szCs w:val="24"/>
        </w:rPr>
      </w:pPr>
      <w:r>
        <w:rPr>
          <w:rFonts w:cstheme="majorBidi"/>
          <w:szCs w:val="24"/>
        </w:rPr>
        <w:t>Underwood</w:t>
      </w:r>
      <w:r w:rsidR="00D648E7" w:rsidRPr="007A6B36">
        <w:rPr>
          <w:rFonts w:cstheme="majorBidi"/>
          <w:szCs w:val="24"/>
        </w:rPr>
        <w:t xml:space="preserve"> et al.</w:t>
      </w:r>
      <w:r w:rsidR="00D648E7" w:rsidRPr="007A6B36">
        <w:rPr>
          <w:rFonts w:cstheme="majorBidi"/>
        </w:rPr>
        <w:fldChar w:fldCharType="begin" w:fldLock="1"/>
      </w:r>
      <w:r w:rsidR="005309B0">
        <w:rPr>
          <w:rFonts w:cstheme="majorBidi"/>
        </w:rPr>
        <w:instrText>ADDIN CSL_CITATION {"citationItems":[{"id":"ITEM-1","itemData":{"ISSN":"1758-678X","author":[{"dropping-particle":"","family":"Underwood","given":"B Shane","non-dropping-particle":"","parse-names":false,"suffix":""},{"dropping-particle":"","family":"Guido","given":"Zack","non-dropping-particle":"","parse-names":false,"suffix":""},{"dropping-particle":"","family":"Gudipudi","given":"Padmini","non-dropping-particle":"","parse-names":false,"suffix":""},{"dropping-particle":"","family":"Feinberg","given":"Yarden","non-dropping-particle":"","parse-names":false,"suffix":""}],"container-title":"Nature Climate Change","id":"ITEM-1","issue":"10","issued":{"date-parts":[["2017"]]},"page":"704-707","publisher":"Nature Publishing Group UK London","title":"Increased costs to US pavement infrastructure from future temperature rise","type":"article-journal","volume":"7"},"uris":["http://www.mendeley.com/documents/?uuid=b6887413-eed2-41a7-b6b6-ea333c193d29"]}],"mendeley":{"formattedCitation":"&lt;sup&gt;9&lt;/sup&gt;","plainTextFormattedCitation":"9","previouslyFormattedCitation":"&lt;sup&gt;9&lt;/sup&gt;"},"properties":{"noteIndex":0},"schema":"https://github.com/citation-style-language/schema/raw/master/csl-citation.json"}</w:instrText>
      </w:r>
      <w:r w:rsidR="00D648E7" w:rsidRPr="007A6B36">
        <w:rPr>
          <w:rFonts w:cstheme="majorBidi"/>
        </w:rPr>
        <w:fldChar w:fldCharType="separate"/>
      </w:r>
      <w:r w:rsidR="00172579" w:rsidRPr="00172579">
        <w:rPr>
          <w:rFonts w:cstheme="majorBidi"/>
          <w:noProof/>
          <w:vertAlign w:val="superscript"/>
        </w:rPr>
        <w:t>9</w:t>
      </w:r>
      <w:r w:rsidR="00D648E7" w:rsidRPr="007A6B36">
        <w:rPr>
          <w:rFonts w:cstheme="majorBidi"/>
        </w:rPr>
        <w:fldChar w:fldCharType="end"/>
      </w:r>
      <w:r w:rsidR="00D648E7" w:rsidRPr="007A6B36">
        <w:rPr>
          <w:rFonts w:cstheme="majorBidi"/>
          <w:szCs w:val="24"/>
        </w:rPr>
        <w:t xml:space="preserve"> analyzed the economic and performance impacts of rising temperatures on U.S. pavement infrastructure using an ensemble of global climate models under various Representative Concentration Pathways (RCPs). </w:t>
      </w:r>
      <w:r w:rsidR="00662623" w:rsidRPr="00662623">
        <w:rPr>
          <w:rFonts w:cstheme="majorBidi"/>
          <w:szCs w:val="24"/>
        </w:rPr>
        <w:t>Their analysis projects additional costs of $21.8 billion under RCP 4.5 and $35.8 billion under RCP 8.5 by 2070, primarily due to increased maintenance, rehabilitation, and early reconstruction of pavements originally designed for a 20-year lifespan</w:t>
      </w:r>
      <w:r w:rsidR="00D648E7" w:rsidRPr="007A6B36">
        <w:rPr>
          <w:rFonts w:cstheme="majorBidi"/>
          <w:szCs w:val="24"/>
        </w:rPr>
        <w:t>.</w:t>
      </w:r>
    </w:p>
    <w:p w14:paraId="521DD661" w14:textId="398EA69F" w:rsidR="00D648E7" w:rsidRPr="007A6B36" w:rsidRDefault="00662623" w:rsidP="000D4A0A">
      <w:pPr>
        <w:spacing w:line="240" w:lineRule="auto"/>
        <w:rPr>
          <w:rFonts w:cstheme="majorBidi"/>
          <w:szCs w:val="24"/>
        </w:rPr>
      </w:pPr>
      <w:r w:rsidRPr="00662623">
        <w:rPr>
          <w:rFonts w:cstheme="majorBidi"/>
          <w:szCs w:val="24"/>
        </w:rPr>
        <w:t xml:space="preserve">To quantify performance vulnerability, </w:t>
      </w:r>
      <w:r w:rsidR="00D648E7" w:rsidRPr="007A6B36">
        <w:rPr>
          <w:rFonts w:cstheme="majorBidi"/>
          <w:szCs w:val="24"/>
        </w:rPr>
        <w:t>Gulzar et al.</w:t>
      </w:r>
      <w:r w:rsidR="00D648E7" w:rsidRPr="007A6B36">
        <w:rPr>
          <w:rFonts w:cstheme="majorBidi"/>
        </w:rPr>
        <w:fldChar w:fldCharType="begin" w:fldLock="1"/>
      </w:r>
      <w:r w:rsidR="00026D6F">
        <w:rPr>
          <w:rFonts w:cstheme="majorBidi"/>
        </w:rPr>
        <w:instrText>ADDIN CSL_CITATION {"citationItems":[{"id":"ITEM-1","itemData":{"ISSN":"1076-0342","author":[{"dropping-particle":"","family":"Gulzar","given":"Saqib","non-dropping-particle":"","parse-names":false,"suffix":""},{"dropping-particle":"","family":"Goenaga","given":"Boris","non-dropping-particle":"","parse-names":false,"suffix":""},{"dropping-particle":"","family":"Shane Underwood","given":"B","non-dropping-particle":"","parse-names":false,"suffix":""}],"container-title":"Journal of Infrastructure Systems","id":"ITEM-1","issue":"1","issued":{"date-parts":[["2022"]]},"page":"4021055","publisher":"American Society of Civil Engineers","title":"Novel Index for Vulnerability Assessment of Flexible Pavement Infrastructure to Temperature Rise: Case Study of Developing Countries","type":"article-journal","volume":"28"},"uris":["http://www.mendeley.com/documents/?uuid=63f64af3-a27c-410f-ac71-a5c53d09da4a"]}],"mendeley":{"formattedCitation":"&lt;sup&gt;29&lt;/sup&gt;","plainTextFormattedCitation":"29","previouslyFormattedCitation":"&lt;sup&gt;29&lt;/sup&gt;"},"properties":{"noteIndex":0},"schema":"https://github.com/citation-style-language/schema/raw/master/csl-citation.json"}</w:instrText>
      </w:r>
      <w:r w:rsidR="00D648E7" w:rsidRPr="007A6B36">
        <w:rPr>
          <w:rFonts w:cstheme="majorBidi"/>
        </w:rPr>
        <w:fldChar w:fldCharType="separate"/>
      </w:r>
      <w:r w:rsidR="00026D6F" w:rsidRPr="00026D6F">
        <w:rPr>
          <w:rFonts w:cstheme="majorBidi"/>
          <w:noProof/>
          <w:vertAlign w:val="superscript"/>
        </w:rPr>
        <w:t>29</w:t>
      </w:r>
      <w:r w:rsidR="00D648E7" w:rsidRPr="007A6B36">
        <w:rPr>
          <w:rFonts w:cstheme="majorBidi"/>
        </w:rPr>
        <w:fldChar w:fldCharType="end"/>
      </w:r>
      <w:r w:rsidR="00D648E7" w:rsidRPr="007A6B36">
        <w:rPr>
          <w:rFonts w:cstheme="majorBidi"/>
          <w:szCs w:val="24"/>
        </w:rPr>
        <w:t xml:space="preserve"> introduced the Extent of Pavement Grade Reliability Loss (EPGRL) index</w:t>
      </w:r>
      <w:r>
        <w:rPr>
          <w:rFonts w:cstheme="majorBidi"/>
          <w:szCs w:val="24"/>
        </w:rPr>
        <w:t>,</w:t>
      </w:r>
      <w:r w:rsidR="00D648E7" w:rsidRPr="007A6B36">
        <w:rPr>
          <w:rFonts w:cstheme="majorBidi"/>
          <w:szCs w:val="24"/>
        </w:rPr>
        <w:t xml:space="preserve"> </w:t>
      </w:r>
      <w:r w:rsidRPr="00662623">
        <w:rPr>
          <w:rFonts w:cstheme="majorBidi"/>
          <w:szCs w:val="24"/>
        </w:rPr>
        <w:t>which integrates asphalt binder rheology with network connectivity metrics to assess serviceability under projected temperature regimes. Application of EPGRL to Colombia and India revealed substantial reliability losses, particularly in the Amazon basin and the northeastern and western regions of India, underscoring the global nature of this challenge</w:t>
      </w:r>
      <w:r w:rsidR="00D648E7" w:rsidRPr="007A6B36">
        <w:rPr>
          <w:rFonts w:cstheme="majorBidi"/>
          <w:szCs w:val="24"/>
        </w:rPr>
        <w:t>.</w:t>
      </w:r>
    </w:p>
    <w:p w14:paraId="037D1EDC" w14:textId="2442E8D7" w:rsidR="00D648E7" w:rsidRPr="007A6B36" w:rsidRDefault="00F86F40" w:rsidP="000D4A0A">
      <w:pPr>
        <w:spacing w:line="240" w:lineRule="auto"/>
        <w:rPr>
          <w:rFonts w:cstheme="majorBidi"/>
          <w:szCs w:val="24"/>
        </w:rPr>
      </w:pPr>
      <w:r w:rsidRPr="007A6B36">
        <w:rPr>
          <w:rFonts w:cstheme="majorBidi"/>
          <w:szCs w:val="24"/>
        </w:rPr>
        <w:lastRenderedPageBreak/>
        <w:t>The limitations of current PG selection methods are further underscored by studies advocating for the integration of predictive climate models into the</w:t>
      </w:r>
      <w:r w:rsidR="00FF2587">
        <w:rPr>
          <w:rFonts w:cstheme="majorBidi"/>
          <w:szCs w:val="24"/>
        </w:rPr>
        <w:t xml:space="preserve"> material</w:t>
      </w:r>
      <w:r w:rsidRPr="007A6B36">
        <w:rPr>
          <w:rFonts w:cstheme="majorBidi"/>
          <w:szCs w:val="24"/>
        </w:rPr>
        <w:t xml:space="preserve"> selection process. Swarna and Hossain </w:t>
      </w:r>
      <w:r w:rsidRPr="007A6B36">
        <w:rPr>
          <w:rFonts w:eastAsia="Times New Roman" w:cstheme="majorBidi"/>
          <w:szCs w:val="24"/>
        </w:rPr>
        <w:fldChar w:fldCharType="begin" w:fldLock="1"/>
      </w:r>
      <w:r w:rsidR="00026D6F">
        <w:rPr>
          <w:rFonts w:eastAsia="Times New Roman" w:cstheme="majorBidi"/>
          <w:szCs w:val="24"/>
        </w:rPr>
        <w:instrText>ADDIN CSL_CITATION {"citationItems":[{"id":"ITEM-1","itemData":{"ISSN":"0959-6526","author":[{"dropping-particle":"","family":"Swarna","given":"Surya Teja","non-dropping-particle":"","parse-names":false,"suffix":""},{"dropping-particle":"","family":"Hossain","given":"Kamal","non-dropping-particle":"","parse-names":false,"suffix":""},{"dropping-particle":"","family":"Mehta","given":"Yusuf A","non-dropping-particle":"","parse-names":false,"suffix":""},{"dropping-particle":"","family":"Bernier","given":"Alyssa","non-dropping-particle":"","parse-names":false,"suffix":""}],"container-title":"Journal of Cleaner Production","id":"ITEM-1","issued":{"date-parts":[["2022"]]},"page":"132313","publisher":"Elsevier","title":"Climate change adaptation strategies for Canadian asphalt pavements; Part 1: Adaptation strategies","type":"article-journal","volume":"363"},"uris":["http://www.mendeley.com/documents/?uuid=3bc3fa1e-0eb3-427b-b5b8-31849fa96fea"]}],"mendeley":{"formattedCitation":"&lt;sup&gt;30&lt;/sup&gt;","plainTextFormattedCitation":"30","previouslyFormattedCitation":"&lt;sup&gt;30&lt;/sup&gt;"},"properties":{"noteIndex":0},"schema":"https://github.com/citation-style-language/schema/raw/master/csl-citation.json"}</w:instrText>
      </w:r>
      <w:r w:rsidRPr="007A6B36">
        <w:rPr>
          <w:rFonts w:eastAsia="Times New Roman" w:cstheme="majorBidi"/>
          <w:szCs w:val="24"/>
        </w:rPr>
        <w:fldChar w:fldCharType="separate"/>
      </w:r>
      <w:r w:rsidR="00026D6F" w:rsidRPr="00026D6F">
        <w:rPr>
          <w:rFonts w:eastAsia="Times New Roman" w:cstheme="majorBidi"/>
          <w:noProof/>
          <w:szCs w:val="24"/>
          <w:vertAlign w:val="superscript"/>
        </w:rPr>
        <w:t>30</w:t>
      </w:r>
      <w:r w:rsidRPr="007A6B36">
        <w:rPr>
          <w:rFonts w:eastAsia="Times New Roman" w:cstheme="majorBidi"/>
          <w:szCs w:val="24"/>
        </w:rPr>
        <w:fldChar w:fldCharType="end"/>
      </w:r>
      <w:r w:rsidRPr="007A6B36">
        <w:rPr>
          <w:rFonts w:eastAsia="Times New Roman" w:cstheme="majorBidi"/>
          <w:szCs w:val="24"/>
        </w:rPr>
        <w:t xml:space="preserve"> </w:t>
      </w:r>
      <w:r w:rsidRPr="007A6B36">
        <w:rPr>
          <w:rFonts w:cstheme="majorBidi"/>
          <w:szCs w:val="24"/>
        </w:rPr>
        <w:t xml:space="preserve"> utilized multiple pavement temperature prediction models to examine the implications of climate change on asphalt binder selection. Their analysis predicts rising pavement temperatures over the coming decades, necessitating higher-grade </w:t>
      </w:r>
      <w:r w:rsidR="00ED4488">
        <w:rPr>
          <w:rFonts w:cstheme="majorBidi"/>
          <w:szCs w:val="24"/>
        </w:rPr>
        <w:t xml:space="preserve">asphalt </w:t>
      </w:r>
      <w:r w:rsidRPr="007A6B36">
        <w:rPr>
          <w:rFonts w:cstheme="majorBidi"/>
          <w:szCs w:val="24"/>
        </w:rPr>
        <w:t>binders to mitigate issues such as rutting and thermal cracking. Viola and Celauro</w:t>
      </w:r>
      <w:r w:rsidRPr="007A6B36">
        <w:rPr>
          <w:rFonts w:cstheme="majorBidi"/>
          <w:szCs w:val="24"/>
        </w:rPr>
        <w:fldChar w:fldCharType="begin" w:fldLock="1"/>
      </w:r>
      <w:r w:rsidR="00026D6F">
        <w:rPr>
          <w:rFonts w:cstheme="majorBidi"/>
          <w:szCs w:val="24"/>
        </w:rPr>
        <w:instrText>ADDIN CSL_CITATION {"citationItems":[{"id":"ITEM-1","itemData":{"ISSN":"1361-9209","author":[{"dropping-particle":"","family":"Viola","given":"Francesco","non-dropping-particle":"","parse-names":false,"suffix":""},{"dropping-particle":"","family":"Celauro","given":"Clara","non-dropping-particle":"","parse-names":false,"suffix":""}],"container-title":"Transportation Research Part D: Transport and Environment","id":"ITEM-1","issued":{"date-parts":[["2015"]]},"page":"40-47","publisher":"Elsevier","title":"Effect of climate change on asphalt binder selection for road construction in Italy","type":"article-journal","volume":"37"},"uris":["http://www.mendeley.com/documents/?uuid=bb72ffa4-50d6-41df-a369-6ea9bb2d22b8"]}],"mendeley":{"formattedCitation":"&lt;sup&gt;31&lt;/sup&gt;","plainTextFormattedCitation":"31","previouslyFormattedCitation":"&lt;sup&gt;31&lt;/sup&gt;"},"properties":{"noteIndex":0},"schema":"https://github.com/citation-style-language/schema/raw/master/csl-citation.json"}</w:instrText>
      </w:r>
      <w:r w:rsidRPr="007A6B36">
        <w:rPr>
          <w:rFonts w:cstheme="majorBidi"/>
          <w:szCs w:val="24"/>
        </w:rPr>
        <w:fldChar w:fldCharType="separate"/>
      </w:r>
      <w:r w:rsidR="00026D6F" w:rsidRPr="00026D6F">
        <w:rPr>
          <w:rFonts w:cstheme="majorBidi"/>
          <w:noProof/>
          <w:szCs w:val="24"/>
          <w:vertAlign w:val="superscript"/>
        </w:rPr>
        <w:t>31</w:t>
      </w:r>
      <w:r w:rsidRPr="007A6B36">
        <w:rPr>
          <w:rFonts w:cstheme="majorBidi"/>
          <w:szCs w:val="24"/>
        </w:rPr>
        <w:fldChar w:fldCharType="end"/>
      </w:r>
      <w:r w:rsidRPr="007A6B36">
        <w:rPr>
          <w:rFonts w:cstheme="majorBidi"/>
          <w:szCs w:val="24"/>
        </w:rPr>
        <w:t xml:space="preserve"> similarly concluded that traditional PG binder selections based on past climate data are insufficient, forecasting that many regions will require upgraded binders to cope with expected temperature extremes.</w:t>
      </w:r>
    </w:p>
    <w:p w14:paraId="0D1A0171" w14:textId="3E5D085B" w:rsidR="00D648E7" w:rsidRDefault="00F86F40" w:rsidP="000D4A0A">
      <w:pPr>
        <w:spacing w:line="240" w:lineRule="auto"/>
        <w:rPr>
          <w:rFonts w:cstheme="majorBidi"/>
          <w:szCs w:val="24"/>
        </w:rPr>
      </w:pPr>
      <w:r w:rsidRPr="007A6B36">
        <w:rPr>
          <w:rFonts w:cstheme="majorBidi"/>
          <w:szCs w:val="24"/>
        </w:rPr>
        <w:t>Underwood et al.</w:t>
      </w:r>
      <w:r w:rsidRPr="007A6B36">
        <w:rPr>
          <w:rFonts w:cstheme="majorBidi"/>
        </w:rPr>
        <w:fldChar w:fldCharType="begin" w:fldLock="1"/>
      </w:r>
      <w:r w:rsidR="005309B0">
        <w:rPr>
          <w:rFonts w:cstheme="majorBidi"/>
        </w:rPr>
        <w:instrText>ADDIN CSL_CITATION {"citationItems":[{"id":"ITEM-1","itemData":{"ISSN":"1758-678X","author":[{"dropping-particle":"","family":"Underwood","given":"B Shane","non-dropping-particle":"","parse-names":false,"suffix":""},{"dropping-particle":"","family":"Guido","given":"Zack","non-dropping-particle":"","parse-names":false,"suffix":""},{"dropping-particle":"","family":"Gudipudi","given":"Padmini","non-dropping-particle":"","parse-names":false,"suffix":""},{"dropping-particle":"","family":"Feinberg","given":"Yarden","non-dropping-particle":"","parse-names":false,"suffix":""}],"container-title":"Nature Climate Change","id":"ITEM-1","issue":"10","issued":{"date-parts":[["2017"]]},"page":"704-707","publisher":"Nature Publishing Group UK London","title":"Increased costs to US pavement infrastructure from future temperature rise","type":"article-journal","volume":"7"},"uris":["http://www.mendeley.com/documents/?uuid=b6887413-eed2-41a7-b6b6-ea333c193d29"]}],"mendeley":{"formattedCitation":"&lt;sup&gt;9&lt;/sup&gt;","plainTextFormattedCitation":"9","previouslyFormattedCitation":"&lt;sup&gt;9&lt;/sup&gt;"},"properties":{"noteIndex":0},"schema":"https://github.com/citation-style-language/schema/raw/master/csl-citation.json"}</w:instrText>
      </w:r>
      <w:r w:rsidRPr="007A6B36">
        <w:rPr>
          <w:rFonts w:cstheme="majorBidi"/>
        </w:rPr>
        <w:fldChar w:fldCharType="separate"/>
      </w:r>
      <w:r w:rsidR="00172579" w:rsidRPr="00172579">
        <w:rPr>
          <w:rFonts w:cstheme="majorBidi"/>
          <w:noProof/>
          <w:vertAlign w:val="superscript"/>
        </w:rPr>
        <w:t>9</w:t>
      </w:r>
      <w:r w:rsidRPr="007A6B36">
        <w:rPr>
          <w:rFonts w:cstheme="majorBidi"/>
        </w:rPr>
        <w:fldChar w:fldCharType="end"/>
      </w:r>
      <w:r w:rsidRPr="007A6B36">
        <w:rPr>
          <w:rFonts w:cstheme="majorBidi"/>
          <w:szCs w:val="24"/>
        </w:rPr>
        <w:t xml:space="preserve">  evaluated the impact of climate change on asphalt pavements and found that approximately 35</w:t>
      </w:r>
      <w:r w:rsidR="00070422">
        <w:rPr>
          <w:rFonts w:cstheme="majorBidi"/>
          <w:szCs w:val="24"/>
        </w:rPr>
        <w:t xml:space="preserve"> percent</w:t>
      </w:r>
      <w:r w:rsidRPr="007A6B36">
        <w:rPr>
          <w:rFonts w:cstheme="majorBidi"/>
          <w:szCs w:val="24"/>
        </w:rPr>
        <w:t xml:space="preserve"> of sites were using incorrect </w:t>
      </w:r>
      <w:r w:rsidR="00FF2587">
        <w:rPr>
          <w:rFonts w:cstheme="majorBidi"/>
          <w:szCs w:val="24"/>
        </w:rPr>
        <w:t xml:space="preserve">asphalt </w:t>
      </w:r>
      <w:r w:rsidRPr="007A6B36">
        <w:rPr>
          <w:rFonts w:cstheme="majorBidi"/>
          <w:szCs w:val="24"/>
        </w:rPr>
        <w:t xml:space="preserve">binder grades, leading to increased maintenance costs. They </w:t>
      </w:r>
      <w:r w:rsidR="00124E8D">
        <w:rPr>
          <w:rFonts w:cstheme="majorBidi"/>
          <w:szCs w:val="24"/>
        </w:rPr>
        <w:t>believed in</w:t>
      </w:r>
      <w:r w:rsidRPr="007A6B36">
        <w:rPr>
          <w:rFonts w:cstheme="majorBidi"/>
          <w:szCs w:val="24"/>
        </w:rPr>
        <w:t xml:space="preserve"> employing predictive models like the Long-Term Pavement Performance and the Mechanistic-Empirical Pavement Design Guide to enhance temperature forecasting and binder selection accuracy. Delgadillo et al.</w:t>
      </w:r>
      <w:r w:rsidRPr="007A6B36">
        <w:rPr>
          <w:rFonts w:cstheme="majorBidi"/>
          <w:szCs w:val="24"/>
        </w:rPr>
        <w:fldChar w:fldCharType="begin" w:fldLock="1"/>
      </w:r>
      <w:r w:rsidR="00026D6F">
        <w:rPr>
          <w:rFonts w:cstheme="majorBidi"/>
          <w:szCs w:val="24"/>
        </w:rPr>
        <w:instrText>ADDIN CSL_CITATION {"citationItems":[{"id":"ITEM-1","itemData":{"ISSN":"1468-0629","author":[{"dropping-particle":"","family":"Delgadillo","given":"Rodrigo","non-dropping-particle":"","parse-names":false,"suffix":""},{"dropping-particle":"","family":"Arteaga","given":"Leandro","non-dropping-particle":"","parse-names":false,"suffix":""},{"dropping-particle":"","family":"Wahr","given":"Carlos","non-dropping-particle":"","parse-names":false,"suffix":""},{"dropping-particle":"","family":"Alcafuz","given":"Ricardo","non-dropping-particle":"","parse-names":false,"suffix":""}],"container-title":"Road Materials and Pavement Design","id":"ITEM-1","issue":"3","issued":{"date-parts":[["2020"]]},"page":"607-622","publisher":"Taylor &amp; Francis","title":"The influence of climate change in Superpave binder selection for Chile","type":"article-journal","volume":"21"},"uris":["http://www.mendeley.com/documents/?uuid=4c5fa821-61aa-452e-9cca-5f2205764bd7"]}],"mendeley":{"formattedCitation":"&lt;sup&gt;28&lt;/sup&gt;","plainTextFormattedCitation":"28","previouslyFormattedCitation":"&lt;sup&gt;28&lt;/sup&gt;"},"properties":{"noteIndex":0},"schema":"https://github.com/citation-style-language/schema/raw/master/csl-citation.json"}</w:instrText>
      </w:r>
      <w:r w:rsidRPr="007A6B36">
        <w:rPr>
          <w:rFonts w:cstheme="majorBidi"/>
          <w:szCs w:val="24"/>
        </w:rPr>
        <w:fldChar w:fldCharType="separate"/>
      </w:r>
      <w:r w:rsidR="00026D6F" w:rsidRPr="00026D6F">
        <w:rPr>
          <w:rFonts w:cstheme="majorBidi"/>
          <w:noProof/>
          <w:szCs w:val="24"/>
          <w:vertAlign w:val="superscript"/>
        </w:rPr>
        <w:t>28</w:t>
      </w:r>
      <w:r w:rsidRPr="007A6B36">
        <w:rPr>
          <w:rFonts w:cstheme="majorBidi"/>
          <w:szCs w:val="24"/>
        </w:rPr>
        <w:fldChar w:fldCharType="end"/>
      </w:r>
      <w:r w:rsidRPr="007A6B36">
        <w:rPr>
          <w:rFonts w:cstheme="majorBidi"/>
          <w:szCs w:val="24"/>
        </w:rPr>
        <w:t xml:space="preserve"> conducted analyses using multiple climate models under various emission scenarios, indicating that most regions would require significant binder grade improvements to maintain pavement integrity.</w:t>
      </w:r>
    </w:p>
    <w:p w14:paraId="5E8F8D5A" w14:textId="0B3A2E21" w:rsidR="00FE14D4" w:rsidRDefault="00FE14D4" w:rsidP="000D4A0A">
      <w:pPr>
        <w:pStyle w:val="Heading2"/>
        <w:spacing w:line="240" w:lineRule="auto"/>
      </w:pPr>
      <w:r>
        <w:t>Mitigation Strategies</w:t>
      </w:r>
    </w:p>
    <w:p w14:paraId="5208662E" w14:textId="6211D5B6" w:rsidR="00FE14D4" w:rsidRPr="00962406" w:rsidRDefault="00FE14D4" w:rsidP="000D4A0A">
      <w:pPr>
        <w:pStyle w:val="Heading3"/>
        <w:spacing w:line="240" w:lineRule="auto"/>
      </w:pPr>
      <w:r w:rsidRPr="00962406">
        <w:t xml:space="preserve">Material Innovation and Effective </w:t>
      </w:r>
      <w:r w:rsidR="00FF2587">
        <w:t>Adaptation</w:t>
      </w:r>
      <w:r w:rsidRPr="00962406">
        <w:t xml:space="preserve"> Selection</w:t>
      </w:r>
    </w:p>
    <w:p w14:paraId="011AEC1A" w14:textId="4873B1CB" w:rsidR="00FF2587" w:rsidRDefault="00FF2587" w:rsidP="000D4A0A">
      <w:pPr>
        <w:spacing w:line="240" w:lineRule="auto"/>
        <w:rPr>
          <w:rFonts w:cstheme="majorBidi"/>
          <w:szCs w:val="24"/>
        </w:rPr>
      </w:pPr>
      <w:r w:rsidRPr="00FF2587">
        <w:rPr>
          <w:rFonts w:cstheme="majorBidi"/>
          <w:szCs w:val="24"/>
        </w:rPr>
        <w:t xml:space="preserve">Adapting asphalt binder selection to projected climatic conditions is both a technical necessity and an economic imperative. Incorporating polymer-modified binders significantly enhances resistance to rutting and thermal cracking under extreme temperature regimes, thereby reducing life-cycle maintenance costs and extending pavement service life. To improve selection accuracy, </w:t>
      </w:r>
      <w:r>
        <w:rPr>
          <w:rFonts w:cstheme="majorBidi"/>
          <w:szCs w:val="24"/>
        </w:rPr>
        <w:t>it is strongly recommended to integrate predictive climate models and advanced reliability metrics, such as the Extent of Pavement Grade Reliability Loss (EPGRL), into the PG specification process</w:t>
      </w:r>
      <w:r w:rsidRPr="00FF2587">
        <w:rPr>
          <w:rFonts w:cstheme="majorBidi"/>
          <w:szCs w:val="24"/>
        </w:rPr>
        <w:t>.</w:t>
      </w:r>
    </w:p>
    <w:p w14:paraId="4AC63E44" w14:textId="38B42D02" w:rsidR="00FF2587" w:rsidRPr="00FF2587" w:rsidRDefault="00FF2587" w:rsidP="000D4A0A">
      <w:pPr>
        <w:spacing w:line="240" w:lineRule="auto"/>
        <w:rPr>
          <w:rFonts w:cstheme="majorBidi"/>
          <w:szCs w:val="24"/>
        </w:rPr>
      </w:pPr>
      <w:r w:rsidRPr="00FF2587">
        <w:rPr>
          <w:rFonts w:cstheme="majorBidi"/>
          <w:szCs w:val="24"/>
        </w:rPr>
        <w:t>In practice, achieving the required binder grade can be challenging, as petroleum refineries may not routinely produce the desired PG. Consequently, binder modification using polymers, elastomers, or industrial by-products is often employed to modify rheological properties</w:t>
      </w:r>
      <w:r>
        <w:rPr>
          <w:rFonts w:cstheme="majorBidi"/>
          <w:szCs w:val="24"/>
        </w:rPr>
        <w:t xml:space="preserve"> </w:t>
      </w:r>
      <w:r w:rsidRPr="00FF2587">
        <w:rPr>
          <w:rFonts w:cstheme="majorBidi"/>
          <w:szCs w:val="24"/>
        </w:rPr>
        <w:t>for specific climatic demands. This customization ensures compliance with performance thresholds under future temperature extremes.</w:t>
      </w:r>
    </w:p>
    <w:p w14:paraId="19789596" w14:textId="1507CB34" w:rsidR="00FF2587" w:rsidRDefault="00FF2587" w:rsidP="000D4A0A">
      <w:pPr>
        <w:spacing w:line="240" w:lineRule="auto"/>
        <w:rPr>
          <w:rFonts w:cstheme="majorBidi"/>
          <w:szCs w:val="24"/>
        </w:rPr>
      </w:pPr>
      <w:r w:rsidRPr="00FF2587">
        <w:rPr>
          <w:rFonts w:cstheme="majorBidi"/>
          <w:szCs w:val="24"/>
        </w:rPr>
        <w:t>Innovative thermal mitigation strategies are also emerging. One promising approach involves increasing the thermal storage capacity of asphalt mixtures through the incorporation of phase change materials (PCMs). PCMs absorb and release latent heat during phase transitions, moderating pavement surface temperatures during heatwaves. Experimental studies have demonstrated the feasibility of PCM-modified asphalt for environmentally adaptive pavements, supported by thermodynamic heat transfer simulations that model thermal behavior under projected extreme heat scenarios</w:t>
      </w:r>
      <w:r w:rsidRPr="00962406">
        <w:rPr>
          <w:rFonts w:cstheme="majorBidi"/>
          <w:szCs w:val="24"/>
        </w:rPr>
        <w:fldChar w:fldCharType="begin" w:fldLock="1"/>
      </w:r>
      <w:r>
        <w:rPr>
          <w:rFonts w:cstheme="majorBidi"/>
          <w:szCs w:val="24"/>
        </w:rPr>
        <w:instrText>ADDIN CSL_CITATION {"citationItems":[{"id":"ITEM-1","itemData":{"ISSN":"2326-6325","author":[{"dropping-particle":"","family":"Montoya","given":"Miguel A","non-dropping-particle":"","parse-names":false,"suffix":""},{"dropping-particle":"","family":"Betancourt-Jiminez","given":"Daniela","non-dropping-particle":"","parse-names":false,"suffix":""},{"dropping-particle":"","family":"Notani","given":"Mohammad","non-dropping-particle":"","parse-names":false,"suffix":""},{"dropping-particle":"","family":"Rahbar-Rastegar","given":"Reyhaneh","non-dropping-particle":"","parse-names":false,"suffix":""},{"dropping-particle":"","family":"Youngblood","given":"Jeffrey P","non-dropping-particle":"","parse-names":false,"suffix":""},{"dropping-particle":"","family":"Martinez","given":"Carlos J","non-dropping-particle":"","parse-names":false,"suffix":""},{"dropping-particle":"","family":"Haddock","given":"John E","non-dropping-particle":"","parse-names":false,"suffix":""}],"id":"ITEM-1","issued":{"date-parts":[["2022"]]},"publisher":"Joint Transportation Research Program","title":"Environmentally Tuning Asphalt Pavements Using Phase Change Materials","type":"article-journal"},"uris":["http://www.mendeley.com/documents/?uuid=d3911701-4269-47e3-8f26-0f69605eb29d"]},{"id":"ITEM-2","itemData":{"ISSN":"2045-2322","author":[{"dropping-particle":"","family":"Bueno","given":"Moises","non-dropping-particle":"","parse-names":false,"suffix":""},{"dropping-particle":"","family":"Kakar","given":"Muhammad Rafiq","non-dropping-particle":"","parse-names":false,"suffix":""},{"dropping-particle":"","family":"Refaa","given":"Zakariaa","non-dropping-particle":"","parse-names":false,"suffix":""},{"dropping-particle":"","family":"Worlitschek","given":"Jörg","non-dropping-particle":"","parse-names":false,"suffix":""},{"dropping-particle":"","family":"Stamatiou","given":"Anastasia","non-dropping-particle":"","parse-names":false,"suffix":""},{"dropping-particle":"","family":"Partl","given":"Manfred N","non-dropping-particle":"","parse-names":false,"suffix":""}],"container-title":"Scientific reports","id":"ITEM-2","issue":"1","issued":{"date-parts":[["2019"]]},"page":"20342","publisher":"Nature Publishing Group UK London","title":"Modification of asphalt mixtures for cold regions using microencapsulated phase change materials","type":"article-journal","volume":"9"},"uris":["http://www.mendeley.com/documents/?uuid=e015ad55-4818-4797-99d1-30b4d99abd1b"]}],"mendeley":{"formattedCitation":"&lt;sup&gt;32,33&lt;/sup&gt;","plainTextFormattedCitation":"32,33","previouslyFormattedCitation":"&lt;sup&gt;32,33&lt;/sup&gt;"},"properties":{"noteIndex":0},"schema":"https://github.com/citation-style-language/schema/raw/master/csl-citation.json"}</w:instrText>
      </w:r>
      <w:r w:rsidRPr="00962406">
        <w:rPr>
          <w:rFonts w:cstheme="majorBidi"/>
          <w:szCs w:val="24"/>
        </w:rPr>
        <w:fldChar w:fldCharType="separate"/>
      </w:r>
      <w:r w:rsidRPr="00026D6F">
        <w:rPr>
          <w:rFonts w:cstheme="majorBidi"/>
          <w:noProof/>
          <w:szCs w:val="24"/>
          <w:vertAlign w:val="superscript"/>
        </w:rPr>
        <w:t>32,33</w:t>
      </w:r>
      <w:r w:rsidRPr="00962406">
        <w:rPr>
          <w:rFonts w:cstheme="majorBidi"/>
          <w:szCs w:val="24"/>
        </w:rPr>
        <w:fldChar w:fldCharType="end"/>
      </w:r>
      <w:r w:rsidRPr="00FF2587">
        <w:rPr>
          <w:rFonts w:cstheme="majorBidi"/>
          <w:szCs w:val="24"/>
        </w:rPr>
        <w:t>.</w:t>
      </w:r>
    </w:p>
    <w:p w14:paraId="606B216C" w14:textId="77777777" w:rsidR="00FF2587" w:rsidRDefault="00FF2587" w:rsidP="000D4A0A">
      <w:pPr>
        <w:spacing w:before="100" w:beforeAutospacing="1" w:after="100" w:afterAutospacing="1" w:line="240" w:lineRule="auto"/>
        <w:rPr>
          <w:rFonts w:ascii="Times New Roman" w:eastAsia="Times New Roman" w:hAnsi="Times New Roman" w:cs="Times New Roman"/>
          <w:szCs w:val="24"/>
        </w:rPr>
      </w:pPr>
      <w:r w:rsidRPr="00E65898">
        <w:rPr>
          <w:rFonts w:cstheme="majorBidi"/>
          <w:szCs w:val="24"/>
        </w:rPr>
        <w:t xml:space="preserve">Air temperature and wind speed data from a representative hot day in August 2024 in Phoenix, Arizona, were used to model realistic extreme heat scenarios. The PCM-modified asphalt mixture incorporated phase change materials with a transition temperature of 38 °C, enabling </w:t>
      </w:r>
      <w:r w:rsidRPr="00E65898">
        <w:rPr>
          <w:rFonts w:cstheme="majorBidi"/>
          <w:szCs w:val="24"/>
        </w:rPr>
        <w:lastRenderedPageBreak/>
        <w:t>latent heat absorption during peak thermal loads and stabilizing pavement surface temperatures. The model computed the temperature at a depth of 76.2 mm (3 inches) below the surface using</w:t>
      </w:r>
      <w:r w:rsidRPr="00FF2587">
        <w:rPr>
          <w:rFonts w:ascii="Times New Roman" w:eastAsia="Times New Roman" w:hAnsi="Times New Roman" w:cs="Times New Roman"/>
          <w:szCs w:val="24"/>
        </w:rPr>
        <w:t xml:space="preserve"> the thermal conductivity, specific heat capacity, and density of the asphalt layers. To capture the influence of wind on convective cooling, convective heat transfer equations were integrated into the model. </w:t>
      </w:r>
    </w:p>
    <w:p w14:paraId="31710730" w14:textId="52DCC14D" w:rsidR="00FF2587" w:rsidRPr="00FF2587" w:rsidRDefault="00FF2587" w:rsidP="000D4A0A">
      <w:pPr>
        <w:spacing w:before="100" w:beforeAutospacing="1" w:after="100" w:afterAutospacing="1"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The </w:t>
      </w:r>
      <w:r w:rsidRPr="00FF2587">
        <w:rPr>
          <w:rFonts w:ascii="Times New Roman" w:eastAsia="Times New Roman" w:hAnsi="Times New Roman" w:cs="Times New Roman"/>
          <w:szCs w:val="24"/>
        </w:rPr>
        <w:t>venerable McAdams equation</w:t>
      </w:r>
      <w:r w:rsidR="00F91554">
        <w:rPr>
          <w:rFonts w:ascii="Times New Roman" w:eastAsia="Times New Roman" w:hAnsi="Times New Roman" w:cs="Times New Roman"/>
          <w:szCs w:val="24"/>
        </w:rPr>
        <w:fldChar w:fldCharType="begin" w:fldLock="1"/>
      </w:r>
      <w:r w:rsidR="00C70391">
        <w:rPr>
          <w:rFonts w:ascii="Times New Roman" w:eastAsia="Times New Roman" w:hAnsi="Times New Roman" w:cs="Times New Roman"/>
          <w:szCs w:val="24"/>
        </w:rPr>
        <w:instrText>ADDIN CSL_CITATION {"citationItems":[{"id":"ITEM-1","itemData":{"author":[{"dropping-particle":"","family":"McAdams","given":"William Henry","non-dropping-particle":"","parse-names":false,"suffix":""},{"dropping-particle":"","family":"McAdams","given":"William H","non-dropping-particle":"","parse-names":false,"suffix":""}],"id":"ITEM-1","issued":{"date-parts":[["1954"]]},"publisher":"McGraw-hill New York","title":"Heat transmission","type":"book","volume":"3"},"uris":["http://www.mendeley.com/documents/?uuid=22b73f76-4952-4772-b9d4-d8e672d98dbc"]}],"mendeley":{"formattedCitation":"&lt;sup&gt;34&lt;/sup&gt;","plainTextFormattedCitation":"34","previouslyFormattedCitation":"&lt;sup&gt;34&lt;/sup&gt;"},"properties":{"noteIndex":0},"schema":"https://github.com/citation-style-language/schema/raw/master/csl-citation.json"}</w:instrText>
      </w:r>
      <w:r w:rsidR="00F91554">
        <w:rPr>
          <w:rFonts w:ascii="Times New Roman" w:eastAsia="Times New Roman" w:hAnsi="Times New Roman" w:cs="Times New Roman"/>
          <w:szCs w:val="24"/>
        </w:rPr>
        <w:fldChar w:fldCharType="separate"/>
      </w:r>
      <w:r w:rsidR="00F91554" w:rsidRPr="00F91554">
        <w:rPr>
          <w:rFonts w:ascii="Times New Roman" w:eastAsia="Times New Roman" w:hAnsi="Times New Roman" w:cs="Times New Roman"/>
          <w:noProof/>
          <w:szCs w:val="24"/>
          <w:vertAlign w:val="superscript"/>
        </w:rPr>
        <w:t>34</w:t>
      </w:r>
      <w:r w:rsidR="00F91554">
        <w:rPr>
          <w:rFonts w:ascii="Times New Roman" w:eastAsia="Times New Roman" w:hAnsi="Times New Roman" w:cs="Times New Roman"/>
          <w:szCs w:val="24"/>
        </w:rPr>
        <w:fldChar w:fldCharType="end"/>
      </w:r>
      <w:r w:rsidRPr="00FF2587">
        <w:rPr>
          <w:rFonts w:ascii="Times New Roman" w:eastAsia="Times New Roman" w:hAnsi="Times New Roman" w:cs="Times New Roman"/>
          <w:szCs w:val="24"/>
        </w:rPr>
        <w:t xml:space="preserve"> for wind-driven convection </w:t>
      </w:r>
      <w:r w:rsidR="00E65898">
        <w:rPr>
          <w:rFonts w:ascii="Times New Roman" w:eastAsia="Times New Roman" w:hAnsi="Times New Roman" w:cs="Times New Roman"/>
          <w:szCs w:val="24"/>
        </w:rPr>
        <w:t>was</w:t>
      </w:r>
      <w:r w:rsidRPr="00FF2587">
        <w:rPr>
          <w:rFonts w:ascii="Times New Roman" w:eastAsia="Times New Roman" w:hAnsi="Times New Roman" w:cs="Times New Roman"/>
          <w:szCs w:val="24"/>
        </w:rPr>
        <w:t xml:space="preserve"> used to </w:t>
      </w:r>
      <w:r w:rsidR="00E65898">
        <w:rPr>
          <w:rFonts w:ascii="Times New Roman" w:eastAsia="Times New Roman" w:hAnsi="Times New Roman" w:cs="Times New Roman"/>
          <w:szCs w:val="24"/>
        </w:rPr>
        <w:t>estimate</w:t>
      </w:r>
      <w:r w:rsidRPr="00FF2587">
        <w:rPr>
          <w:rFonts w:ascii="Times New Roman" w:eastAsia="Times New Roman" w:hAnsi="Times New Roman" w:cs="Times New Roman"/>
          <w:szCs w:val="24"/>
        </w:rPr>
        <w:t xml:space="preserve"> the effect of temperature on pavements by considering air temperature and wind speed</w:t>
      </w:r>
      <w:r w:rsidR="00F91554">
        <w:rPr>
          <w:rFonts w:ascii="Times New Roman" w:eastAsia="Times New Roman" w:hAnsi="Times New Roman" w:cs="Times New Roman"/>
          <w:szCs w:val="24"/>
        </w:rPr>
        <w:t xml:space="preserve"> </w:t>
      </w:r>
      <w:r w:rsidR="00F91554">
        <w:rPr>
          <w:rFonts w:ascii="Times New Roman" w:eastAsia="Times New Roman" w:hAnsi="Times New Roman" w:cs="Times New Roman"/>
          <w:szCs w:val="24"/>
        </w:rPr>
        <w:fldChar w:fldCharType="begin" w:fldLock="1"/>
      </w:r>
      <w:r w:rsidR="00C70391">
        <w:rPr>
          <w:rFonts w:ascii="Times New Roman" w:eastAsia="Times New Roman" w:hAnsi="Times New Roman" w:cs="Times New Roman"/>
          <w:szCs w:val="24"/>
        </w:rPr>
        <w:instrText>ADDIN CSL_CITATION {"citationItems":[{"id":"ITEM-1","itemData":{"ISSN":"1359-4311","author":[{"dropping-particle":"","family":"Mirsadeghi","given":"Mohammad","non-dropping-particle":"","parse-names":false,"suffix":""},{"dropping-particle":"","family":"Costola","given":"Daniel","non-dropping-particle":"","parse-names":false,"suffix":""},{"dropping-particle":"","family":"Blocken","given":"Bert","non-dropping-particle":"","parse-names":false,"suffix":""},{"dropping-particle":"","family":"Hensen","given":"Jan L M","non-dropping-particle":"","parse-names":false,"suffix":""}],"container-title":"Applied Thermal Engineering","id":"ITEM-1","issue":"1-2","issued":{"date-parts":[["2013"]]},"page":"134-151","publisher":"Elsevier","title":"Review of external convective heat transfer coefficient models in building energy simulation programs: Implementation and uncertainty","type":"article-journal","volume":"56"},"uris":["http://www.mendeley.com/documents/?uuid=5212f386-1637-49a5-a902-2c0a27653d00"]}],"mendeley":{"formattedCitation":"&lt;sup&gt;35&lt;/sup&gt;","plainTextFormattedCitation":"35","previouslyFormattedCitation":"&lt;sup&gt;35&lt;/sup&gt;"},"properties":{"noteIndex":0},"schema":"https://github.com/citation-style-language/schema/raw/master/csl-citation.json"}</w:instrText>
      </w:r>
      <w:r w:rsidR="00F91554">
        <w:rPr>
          <w:rFonts w:ascii="Times New Roman" w:eastAsia="Times New Roman" w:hAnsi="Times New Roman" w:cs="Times New Roman"/>
          <w:szCs w:val="24"/>
        </w:rPr>
        <w:fldChar w:fldCharType="separate"/>
      </w:r>
      <w:r w:rsidR="00F91554" w:rsidRPr="00F91554">
        <w:rPr>
          <w:rFonts w:ascii="Times New Roman" w:eastAsia="Times New Roman" w:hAnsi="Times New Roman" w:cs="Times New Roman"/>
          <w:noProof/>
          <w:szCs w:val="24"/>
          <w:vertAlign w:val="superscript"/>
        </w:rPr>
        <w:t>35</w:t>
      </w:r>
      <w:r w:rsidR="00F91554">
        <w:rPr>
          <w:rFonts w:ascii="Times New Roman" w:eastAsia="Times New Roman" w:hAnsi="Times New Roman" w:cs="Times New Roman"/>
          <w:szCs w:val="24"/>
        </w:rPr>
        <w:fldChar w:fldCharType="end"/>
      </w:r>
      <w:r w:rsidRPr="00FF2587">
        <w:rPr>
          <w:rFonts w:ascii="Times New Roman" w:eastAsia="Times New Roman" w:hAnsi="Times New Roman" w:cs="Times New Roman"/>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8"/>
      </w:tblGrid>
      <w:tr w:rsidR="00F91554" w14:paraId="12E48DD6" w14:textId="77777777" w:rsidTr="00E65898">
        <w:trPr>
          <w:trHeight w:val="261"/>
        </w:trPr>
        <w:tc>
          <w:tcPr>
            <w:tcW w:w="4537" w:type="dxa"/>
          </w:tcPr>
          <w:p w14:paraId="568C3E85" w14:textId="3896CD07" w:rsidR="00F91554" w:rsidRDefault="00F91554" w:rsidP="000D4A0A">
            <w:pPr>
              <w:spacing w:before="100" w:beforeAutospacing="1" w:after="100" w:afterAutospacing="1"/>
              <w:jc w:val="center"/>
              <w:rPr>
                <w:rFonts w:ascii="Times New Roman" w:eastAsia="Times New Roman" w:hAnsi="Times New Roman" w:cs="Times New Roman"/>
                <w:szCs w:val="24"/>
              </w:rPr>
            </w:pPr>
            <w:r w:rsidRPr="00447000">
              <w:rPr>
                <w:rFonts w:ascii="Times New Roman" w:eastAsia="Times New Roman" w:hAnsi="Times New Roman" w:cs="Times New Roman"/>
                <w:szCs w:val="24"/>
              </w:rPr>
              <w:t>h=5.7+3.8</w:t>
            </w:r>
            <w:r>
              <w:rPr>
                <w:rFonts w:ascii="Times New Roman" w:eastAsia="Times New Roman" w:hAnsi="Times New Roman" w:cs="Times New Roman"/>
                <w:szCs w:val="24"/>
              </w:rPr>
              <w:t xml:space="preserve">V </w:t>
            </w:r>
          </w:p>
        </w:tc>
        <w:tc>
          <w:tcPr>
            <w:tcW w:w="4538" w:type="dxa"/>
          </w:tcPr>
          <w:p w14:paraId="5D4749BC" w14:textId="32C60ADF" w:rsidR="00F91554" w:rsidRDefault="00F91554" w:rsidP="000D4A0A">
            <w:pPr>
              <w:spacing w:before="100" w:beforeAutospacing="1" w:after="100" w:afterAutospacing="1"/>
              <w:jc w:val="right"/>
              <w:rPr>
                <w:rFonts w:ascii="Times New Roman" w:eastAsia="Times New Roman" w:hAnsi="Times New Roman" w:cs="Times New Roman"/>
                <w:szCs w:val="24"/>
              </w:rPr>
            </w:pPr>
            <w:r>
              <w:rPr>
                <w:rFonts w:ascii="Times New Roman" w:eastAsia="Times New Roman" w:hAnsi="Times New Roman" w:cs="Times New Roman"/>
                <w:szCs w:val="24"/>
              </w:rPr>
              <w:t>Eq. 4</w:t>
            </w:r>
          </w:p>
        </w:tc>
      </w:tr>
    </w:tbl>
    <w:p w14:paraId="6664EC8A" w14:textId="255FB9EC" w:rsidR="00EA14E3" w:rsidRPr="00447000" w:rsidRDefault="00FF2587" w:rsidP="000D4A0A">
      <w:pPr>
        <w:spacing w:before="100" w:beforeAutospacing="1" w:after="100" w:afterAutospacing="1"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Where h is the </w:t>
      </w:r>
      <w:r w:rsidRPr="00FF2587">
        <w:rPr>
          <w:rFonts w:ascii="Times New Roman" w:eastAsia="Times New Roman" w:hAnsi="Times New Roman" w:cs="Times New Roman"/>
          <w:szCs w:val="24"/>
        </w:rPr>
        <w:t>convective heat transfer coefficient (W/m</w:t>
      </w:r>
      <w:proofErr w:type="gramStart"/>
      <w:r w:rsidRPr="00FF2587">
        <w:rPr>
          <w:rFonts w:ascii="Times New Roman" w:eastAsia="Times New Roman" w:hAnsi="Times New Roman" w:cs="Times New Roman"/>
          <w:szCs w:val="24"/>
        </w:rPr>
        <w:t>²</w:t>
      </w:r>
      <w:r w:rsidR="00E65898">
        <w:rPr>
          <w:rFonts w:ascii="Times New Roman" w:eastAsia="Times New Roman" w:hAnsi="Times New Roman" w:cs="Times New Roman"/>
          <w:szCs w:val="24"/>
        </w:rPr>
        <w:t>.</w:t>
      </w:r>
      <w:r w:rsidRPr="00FF2587">
        <w:rPr>
          <w:rFonts w:ascii="Times New Roman" w:eastAsia="Times New Roman" w:hAnsi="Times New Roman" w:cs="Times New Roman"/>
          <w:szCs w:val="24"/>
        </w:rPr>
        <w:t>K</w:t>
      </w:r>
      <w:proofErr w:type="gramEnd"/>
      <w:r w:rsidRPr="00FF2587">
        <w:rPr>
          <w:rFonts w:ascii="Times New Roman" w:eastAsia="Times New Roman" w:hAnsi="Times New Roman" w:cs="Times New Roman"/>
          <w:szCs w:val="24"/>
        </w:rPr>
        <w:t>)</w:t>
      </w:r>
      <w:r>
        <w:rPr>
          <w:rFonts w:ascii="Times New Roman" w:eastAsia="Times New Roman" w:hAnsi="Times New Roman" w:cs="Times New Roman"/>
          <w:szCs w:val="24"/>
        </w:rPr>
        <w:t xml:space="preserve"> and V is the wind speed (m/s)</w:t>
      </w:r>
      <w:r w:rsidR="00F91554">
        <w:rPr>
          <w:rFonts w:ascii="Times New Roman" w:eastAsia="Times New Roman" w:hAnsi="Times New Roman" w:cs="Times New Roman"/>
          <w:szCs w:val="24"/>
        </w:rPr>
        <w:t xml:space="preserve">. </w:t>
      </w:r>
      <w:r w:rsidR="00EA14E3" w:rsidRPr="00447000">
        <w:rPr>
          <w:rFonts w:ascii="Times New Roman" w:eastAsia="Times New Roman" w:hAnsi="Times New Roman" w:cs="Times New Roman"/>
          <w:szCs w:val="24"/>
        </w:rPr>
        <w:t>The thermal diffusivity (α=k/(</w:t>
      </w:r>
      <w:proofErr w:type="spellStart"/>
      <w:r w:rsidR="00EA14E3" w:rsidRPr="00447000">
        <w:rPr>
          <w:rFonts w:ascii="Times New Roman" w:eastAsia="Times New Roman" w:hAnsi="Times New Roman" w:cs="Times New Roman"/>
          <w:szCs w:val="24"/>
        </w:rPr>
        <w:t>ρc</w:t>
      </w:r>
      <w:proofErr w:type="spellEnd"/>
      <w:r w:rsidR="00DD23DD">
        <w:rPr>
          <w:rFonts w:ascii="Times New Roman" w:eastAsia="Times New Roman" w:hAnsi="Times New Roman" w:cs="Times New Roman"/>
          <w:szCs w:val="24"/>
        </w:rPr>
        <w:t xml:space="preserve">)) </w:t>
      </w:r>
      <w:r w:rsidR="00EA14E3" w:rsidRPr="00447000">
        <w:rPr>
          <w:rFonts w:ascii="Times New Roman" w:eastAsia="Times New Roman" w:hAnsi="Times New Roman" w:cs="Times New Roman"/>
          <w:szCs w:val="24"/>
        </w:rPr>
        <w:t xml:space="preserve">of both traditional and PCM-modified asphalt was </w:t>
      </w:r>
      <w:r w:rsidR="00DD23DD">
        <w:rPr>
          <w:rFonts w:ascii="Times New Roman" w:eastAsia="Times New Roman" w:hAnsi="Times New Roman" w:cs="Times New Roman"/>
          <w:szCs w:val="24"/>
        </w:rPr>
        <w:t>used</w:t>
      </w:r>
      <w:r w:rsidR="00EA14E3" w:rsidRPr="00447000">
        <w:rPr>
          <w:rFonts w:ascii="Times New Roman" w:eastAsia="Times New Roman" w:hAnsi="Times New Roman" w:cs="Times New Roman"/>
          <w:szCs w:val="24"/>
        </w:rPr>
        <w:t xml:space="preserve"> to simulate the temperature distribution over time and depth</w:t>
      </w:r>
      <w:r w:rsidR="001462DF">
        <w:rPr>
          <w:rFonts w:ascii="Times New Roman" w:eastAsia="Times New Roman" w:hAnsi="Times New Roman" w:cs="Times New Roman"/>
          <w:szCs w:val="24"/>
        </w:rPr>
        <w:t xml:space="preserve">, </w:t>
      </w:r>
      <w:r w:rsidR="001462DF" w:rsidRPr="001462DF">
        <w:rPr>
          <w:rFonts w:ascii="Times New Roman" w:eastAsia="Times New Roman" w:hAnsi="Times New Roman" w:cs="Times New Roman"/>
          <w:szCs w:val="24"/>
        </w:rPr>
        <w:t xml:space="preserve">where </w:t>
      </w:r>
      <w:r w:rsidR="001462DF" w:rsidRPr="001462DF">
        <w:rPr>
          <w:rFonts w:ascii="Cambria Math" w:eastAsia="Times New Roman" w:hAnsi="Cambria Math" w:cs="Cambria Math"/>
          <w:szCs w:val="24"/>
        </w:rPr>
        <w:t>𝑘</w:t>
      </w:r>
      <w:r w:rsidR="001462DF" w:rsidRPr="001462DF">
        <w:rPr>
          <w:rFonts w:ascii="Times New Roman" w:eastAsia="Times New Roman" w:hAnsi="Times New Roman" w:cs="Times New Roman"/>
          <w:szCs w:val="24"/>
        </w:rPr>
        <w:t xml:space="preserve"> is thermal conductivity, </w:t>
      </w:r>
      <w:r w:rsidR="001462DF" w:rsidRPr="001462DF">
        <w:rPr>
          <w:rFonts w:ascii="Cambria Math" w:eastAsia="Times New Roman" w:hAnsi="Cambria Math" w:cs="Cambria Math"/>
          <w:szCs w:val="24"/>
        </w:rPr>
        <w:t>𝜌</w:t>
      </w:r>
      <w:r w:rsidR="001462DF" w:rsidRPr="001462DF">
        <w:rPr>
          <w:rFonts w:ascii="Times New Roman" w:eastAsia="Times New Roman" w:hAnsi="Times New Roman" w:cs="Times New Roman"/>
          <w:szCs w:val="24"/>
        </w:rPr>
        <w:t xml:space="preserve"> is density, and </w:t>
      </w:r>
      <w:r w:rsidR="001462DF" w:rsidRPr="001462DF">
        <w:rPr>
          <w:rFonts w:ascii="Cambria Math" w:eastAsia="Times New Roman" w:hAnsi="Cambria Math" w:cs="Cambria Math"/>
          <w:szCs w:val="24"/>
        </w:rPr>
        <w:t>𝑐</w:t>
      </w:r>
      <w:r w:rsidR="001462DF" w:rsidRPr="001462DF">
        <w:rPr>
          <w:rFonts w:ascii="Times New Roman" w:eastAsia="Times New Roman" w:hAnsi="Times New Roman" w:cs="Times New Roman"/>
          <w:szCs w:val="24"/>
        </w:rPr>
        <w:t xml:space="preserve"> is specific heat capacity.</w:t>
      </w:r>
    </w:p>
    <w:p w14:paraId="7315B0FB" w14:textId="77777777" w:rsidR="001462DF" w:rsidRDefault="00F91554" w:rsidP="000D4A0A">
      <w:pPr>
        <w:spacing w:before="100" w:beforeAutospacing="1" w:after="100" w:afterAutospacing="1" w:line="240" w:lineRule="auto"/>
        <w:rPr>
          <w:rFonts w:ascii="Times New Roman" w:eastAsia="Times New Roman" w:hAnsi="Times New Roman" w:cs="Times New Roman"/>
          <w:szCs w:val="24"/>
        </w:rPr>
      </w:pPr>
      <w:r w:rsidRPr="00F91554">
        <w:rPr>
          <w:rFonts w:ascii="Times New Roman" w:eastAsia="Times New Roman" w:hAnsi="Times New Roman" w:cs="Times New Roman"/>
          <w:szCs w:val="24"/>
        </w:rPr>
        <w:t>As illustrated in Figure 4, the PCM-modified asphalt mixture maintains a near-constant temperature around 38 °C during peak thermal loading due to latent heat absorption during the phase transition. This thermal buffering effect significantly reduces surface temperature fluctuations compared to conventional asphalt mixtures. The PCM-modified pavement exhibits a smoother subsurface temperature gradient throughout the diurnal cycle</w:t>
      </w:r>
      <w:r>
        <w:rPr>
          <w:rFonts w:ascii="Times New Roman" w:eastAsia="Times New Roman" w:hAnsi="Times New Roman" w:cs="Times New Roman"/>
          <w:szCs w:val="24"/>
        </w:rPr>
        <w:t>. In contrast, traditional</w:t>
      </w:r>
      <w:r w:rsidRPr="00F91554">
        <w:rPr>
          <w:rFonts w:ascii="Times New Roman" w:eastAsia="Times New Roman" w:hAnsi="Times New Roman" w:cs="Times New Roman"/>
          <w:szCs w:val="24"/>
        </w:rPr>
        <w:t xml:space="preserve"> asphalt</w:t>
      </w:r>
      <w:r>
        <w:rPr>
          <w:rFonts w:ascii="Times New Roman" w:eastAsia="Times New Roman" w:hAnsi="Times New Roman" w:cs="Times New Roman"/>
          <w:szCs w:val="24"/>
        </w:rPr>
        <w:t xml:space="preserve">, </w:t>
      </w:r>
      <w:r w:rsidRPr="00F91554">
        <w:rPr>
          <w:rFonts w:ascii="Times New Roman" w:eastAsia="Times New Roman" w:hAnsi="Times New Roman" w:cs="Times New Roman"/>
          <w:szCs w:val="24"/>
        </w:rPr>
        <w:t>characterized by higher solar absorptivity and lower heat capacity</w:t>
      </w:r>
      <w:r>
        <w:rPr>
          <w:rFonts w:ascii="Times New Roman" w:eastAsia="Times New Roman" w:hAnsi="Times New Roman" w:cs="Times New Roman"/>
          <w:szCs w:val="24"/>
        </w:rPr>
        <w:t xml:space="preserve">, </w:t>
      </w:r>
      <w:r w:rsidRPr="00F91554">
        <w:rPr>
          <w:rFonts w:ascii="Times New Roman" w:eastAsia="Times New Roman" w:hAnsi="Times New Roman" w:cs="Times New Roman"/>
          <w:szCs w:val="24"/>
        </w:rPr>
        <w:t>experiences rapid heat accumulation, often exceeding ambient air temperatures. By attenuating extreme temperature peaks, PCM-modified asphalt mitigates rutting, thermal deformation, and oxidative aging, thereby enhancing structural durability and extending service life under heatwave conditions. Although initial implementation challenges exist</w:t>
      </w:r>
      <w:r>
        <w:rPr>
          <w:rFonts w:ascii="Times New Roman" w:eastAsia="Times New Roman" w:hAnsi="Times New Roman" w:cs="Times New Roman"/>
          <w:szCs w:val="24"/>
        </w:rPr>
        <w:t xml:space="preserve">, </w:t>
      </w:r>
      <w:r w:rsidRPr="00F91554">
        <w:rPr>
          <w:rFonts w:ascii="Times New Roman" w:eastAsia="Times New Roman" w:hAnsi="Times New Roman" w:cs="Times New Roman"/>
          <w:szCs w:val="24"/>
        </w:rPr>
        <w:t>such as material cost, PCM encapsulation stability, and integration with existing paving practices</w:t>
      </w:r>
      <w:r>
        <w:rPr>
          <w:rFonts w:ascii="Times New Roman" w:eastAsia="Times New Roman" w:hAnsi="Times New Roman" w:cs="Times New Roman"/>
          <w:szCs w:val="24"/>
        </w:rPr>
        <w:t xml:space="preserve">, </w:t>
      </w:r>
      <w:r w:rsidRPr="00F91554">
        <w:rPr>
          <w:rFonts w:ascii="Times New Roman" w:eastAsia="Times New Roman" w:hAnsi="Times New Roman" w:cs="Times New Roman"/>
          <w:szCs w:val="24"/>
        </w:rPr>
        <w:t>the long-term benefits in performance reliability, reduced maintenance frequency, and lifecycle cost savings position PCM technology as a promising adaptation strategy for climate-resilient pavement systems</w:t>
      </w:r>
      <w:r w:rsidR="001462DF" w:rsidRPr="001462DF">
        <w:rPr>
          <w:rFonts w:ascii="Times New Roman" w:eastAsia="Times New Roman" w:hAnsi="Times New Roman" w:cs="Times New Roman"/>
          <w:szCs w:val="24"/>
        </w:rPr>
        <w:t>.</w:t>
      </w:r>
    </w:p>
    <w:p w14:paraId="6548EA70" w14:textId="2A61572C" w:rsidR="00DD23DD" w:rsidRDefault="001752A1" w:rsidP="000D4A0A">
      <w:pPr>
        <w:keepNext/>
        <w:spacing w:line="240" w:lineRule="auto"/>
        <w:jc w:val="center"/>
      </w:pPr>
      <w:r>
        <w:rPr>
          <w:rFonts w:cstheme="majorBidi"/>
          <w:noProof/>
          <w:szCs w:val="24"/>
        </w:rPr>
        <mc:AlternateContent>
          <mc:Choice Requires="wps">
            <w:drawing>
              <wp:anchor distT="0" distB="0" distL="114300" distR="114300" simplePos="0" relativeHeight="251659264" behindDoc="0" locked="0" layoutInCell="1" allowOverlap="1" wp14:anchorId="59E4325E" wp14:editId="31D3D43C">
                <wp:simplePos x="0" y="0"/>
                <wp:positionH relativeFrom="column">
                  <wp:posOffset>3220482</wp:posOffset>
                </wp:positionH>
                <wp:positionV relativeFrom="paragraph">
                  <wp:posOffset>738030</wp:posOffset>
                </wp:positionV>
                <wp:extent cx="0" cy="427055"/>
                <wp:effectExtent l="76200" t="0" r="57150" b="49530"/>
                <wp:wrapNone/>
                <wp:docPr id="3" name="Straight Arrow Connector 3"/>
                <wp:cNvGraphicFramePr/>
                <a:graphic xmlns:a="http://schemas.openxmlformats.org/drawingml/2006/main">
                  <a:graphicData uri="http://schemas.microsoft.com/office/word/2010/wordprocessingShape">
                    <wps:wsp>
                      <wps:cNvCnPr/>
                      <wps:spPr>
                        <a:xfrm>
                          <a:off x="0" y="0"/>
                          <a:ext cx="0" cy="42705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448979" id="_x0000_t32" coordsize="21600,21600" o:spt="32" o:oned="t" path="m,l21600,21600e" filled="f">
                <v:path arrowok="t" fillok="f" o:connecttype="none"/>
                <o:lock v:ext="edit" shapetype="t"/>
              </v:shapetype>
              <v:shape id="Straight Arrow Connector 3" o:spid="_x0000_s1026" type="#_x0000_t32" style="position:absolute;margin-left:253.6pt;margin-top:58.1pt;width:0;height:3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" strokecolor="#ed7d31 [3205]" strokeweight="1.5pt">
                <v:stroke endarrow="block" joinstyle="miter"/>
              </v:shape>
            </w:pict>
          </mc:Fallback>
        </mc:AlternateContent>
      </w:r>
      <w:r>
        <w:rPr>
          <w:rFonts w:cstheme="majorBidi"/>
          <w:noProof/>
          <w:szCs w:val="24"/>
        </w:rPr>
        <mc:AlternateContent>
          <mc:Choice Requires="wps">
            <w:drawing>
              <wp:anchor distT="0" distB="0" distL="114300" distR="114300" simplePos="0" relativeHeight="251661312" behindDoc="0" locked="0" layoutInCell="1" allowOverlap="1" wp14:anchorId="6541B485" wp14:editId="6805A221">
                <wp:simplePos x="0" y="0"/>
                <wp:positionH relativeFrom="column">
                  <wp:posOffset>1755734</wp:posOffset>
                </wp:positionH>
                <wp:positionV relativeFrom="paragraph">
                  <wp:posOffset>1620714</wp:posOffset>
                </wp:positionV>
                <wp:extent cx="45719" cy="198037"/>
                <wp:effectExtent l="38100" t="38100" r="50165" b="12065"/>
                <wp:wrapNone/>
                <wp:docPr id="4" name="Straight Arrow Connector 4"/>
                <wp:cNvGraphicFramePr/>
                <a:graphic xmlns:a="http://schemas.openxmlformats.org/drawingml/2006/main">
                  <a:graphicData uri="http://schemas.microsoft.com/office/word/2010/wordprocessingShape">
                    <wps:wsp>
                      <wps:cNvCnPr/>
                      <wps:spPr>
                        <a:xfrm flipV="1">
                          <a:off x="0" y="0"/>
                          <a:ext cx="45719" cy="198037"/>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DA29D4" id="Straight Arrow Connector 4" o:spid="_x0000_s1026" type="#_x0000_t32" style="position:absolute;margin-left:138.25pt;margin-top:127.6pt;width:3.6pt;height:15.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" strokecolor="#ed7d31 [3205]" strokeweight="1.5pt">
                <v:stroke endarrow="block" joinstyle="miter"/>
              </v:shape>
            </w:pict>
          </mc:Fallback>
        </mc:AlternateContent>
      </w:r>
      <w:r w:rsidR="00DD23DD">
        <w:rPr>
          <w:rFonts w:cstheme="majorBidi"/>
          <w:noProof/>
          <w:szCs w:val="24"/>
        </w:rPr>
        <w:drawing>
          <wp:inline distT="0" distB="0" distL="0" distR="0" wp14:anchorId="1F7075FD" wp14:editId="6ECE6F9D">
            <wp:extent cx="4575959" cy="2964264"/>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9034" cy="2972734"/>
                    </a:xfrm>
                    <a:prstGeom prst="rect">
                      <a:avLst/>
                    </a:prstGeom>
                    <a:noFill/>
                  </pic:spPr>
                </pic:pic>
              </a:graphicData>
            </a:graphic>
          </wp:inline>
        </w:drawing>
      </w:r>
    </w:p>
    <w:p w14:paraId="7E8854CF" w14:textId="41424DF7" w:rsidR="00036BCA" w:rsidRDefault="00DD23DD" w:rsidP="000D4A0A">
      <w:pPr>
        <w:pStyle w:val="Caption"/>
        <w:jc w:val="center"/>
      </w:pPr>
      <w:r>
        <w:t xml:space="preserve">Figure </w:t>
      </w:r>
      <w:r w:rsidR="000D4A0A">
        <w:fldChar w:fldCharType="begin"/>
      </w:r>
      <w:r w:rsidR="000D4A0A">
        <w:instrText xml:space="preserve"> SEQ Figure \* ARABIC </w:instrText>
      </w:r>
      <w:r w:rsidR="000D4A0A">
        <w:fldChar w:fldCharType="separate"/>
      </w:r>
      <w:r w:rsidR="001462DF">
        <w:rPr>
          <w:noProof/>
        </w:rPr>
        <w:t>4</w:t>
      </w:r>
      <w:r w:rsidR="000D4A0A">
        <w:rPr>
          <w:noProof/>
        </w:rPr>
        <w:fldChar w:fldCharType="end"/>
      </w:r>
      <w:r>
        <w:t xml:space="preserve">. Thermodynamic simulation </w:t>
      </w:r>
      <w:r w:rsidR="00B83A63">
        <w:t>results of featured and traditional materials in relation to air temperature</w:t>
      </w:r>
      <w:r w:rsidR="00C74E00">
        <w:t>.</w:t>
      </w:r>
    </w:p>
    <w:p w14:paraId="00ACB9F1" w14:textId="5EBCBB54" w:rsidR="006D103A" w:rsidRDefault="00B60CE8" w:rsidP="000D4A0A">
      <w:pPr>
        <w:pStyle w:val="Heading1"/>
        <w:spacing w:line="240" w:lineRule="auto"/>
      </w:pPr>
      <w:r w:rsidRPr="007A6B36">
        <w:t xml:space="preserve">Challenge </w:t>
      </w:r>
      <w:r w:rsidR="006C1BAA">
        <w:t>3</w:t>
      </w:r>
      <w:r w:rsidRPr="007A6B36">
        <w:t xml:space="preserve">: </w:t>
      </w:r>
      <w:r w:rsidR="00914735" w:rsidRPr="007A6B36">
        <w:t>Wildfire</w:t>
      </w:r>
    </w:p>
    <w:p w14:paraId="096B5E76" w14:textId="129C25A9" w:rsidR="00DA720D" w:rsidRPr="00DA720D" w:rsidRDefault="00DA720D" w:rsidP="000D4A0A">
      <w:pPr>
        <w:pStyle w:val="Heading2"/>
        <w:spacing w:line="240" w:lineRule="auto"/>
      </w:pPr>
      <w:r>
        <w:t>Assessment</w:t>
      </w:r>
    </w:p>
    <w:p w14:paraId="282C84A6" w14:textId="0B723CA4" w:rsidR="00BA4149" w:rsidRPr="00A007E4" w:rsidRDefault="00637D5B" w:rsidP="000D4A0A">
      <w:pPr>
        <w:spacing w:line="240" w:lineRule="auto"/>
        <w:rPr>
          <w:rFonts w:cstheme="majorBidi"/>
          <w:szCs w:val="24"/>
        </w:rPr>
      </w:pPr>
      <w:r w:rsidRPr="00637D5B">
        <w:rPr>
          <w:rFonts w:cstheme="majorBidi"/>
          <w:szCs w:val="24"/>
        </w:rPr>
        <w:t xml:space="preserve">Wildfires </w:t>
      </w:r>
      <w:r w:rsidR="001752A1">
        <w:rPr>
          <w:rFonts w:cstheme="majorBidi"/>
          <w:szCs w:val="24"/>
        </w:rPr>
        <w:t xml:space="preserve">can </w:t>
      </w:r>
      <w:r w:rsidRPr="00637D5B">
        <w:rPr>
          <w:rFonts w:cstheme="majorBidi"/>
          <w:szCs w:val="24"/>
        </w:rPr>
        <w:t>expose roadways to extreme heat, rapidly escalating pavement temperatures</w:t>
      </w:r>
      <w:r w:rsidR="004B6614">
        <w:rPr>
          <w:rFonts w:cstheme="majorBidi"/>
          <w:szCs w:val="24"/>
        </w:rPr>
        <w:t xml:space="preserve">. </w:t>
      </w:r>
      <w:r w:rsidR="004B6614">
        <w:t>For instance, during the 2018 “</w:t>
      </w:r>
      <w:r w:rsidR="004B6614" w:rsidRPr="004B6614">
        <w:rPr>
          <w:i/>
          <w:iCs/>
        </w:rPr>
        <w:t>Camp Fire</w:t>
      </w:r>
      <w:r w:rsidR="004B6614">
        <w:t xml:space="preserve">” in California, roadway temperatures reportedly </w:t>
      </w:r>
      <w:r w:rsidR="00CC6FF2">
        <w:t>reached</w:t>
      </w:r>
      <w:r w:rsidR="004B6614">
        <w:t xml:space="preserve"> approximately 297°C within five hours of ignition</w:t>
      </w:r>
      <w:r w:rsidR="0052201E">
        <w:rPr>
          <w:rFonts w:cstheme="majorBidi"/>
          <w:szCs w:val="24"/>
        </w:rPr>
        <w:fldChar w:fldCharType="begin" w:fldLock="1"/>
      </w:r>
      <w:r w:rsidR="00C70391">
        <w:rPr>
          <w:rFonts w:cstheme="majorBidi"/>
          <w:szCs w:val="24"/>
        </w:rPr>
        <w:instrText>ADDIN CSL_CITATION {"citationItems":[{"id":"ITEM-1","itemData":{"ISSN":"1476-4687","author":[{"dropping-particle":"","family":"Robinson","given":"Andrew","non-dropping-particle":"","parse-names":false,"suffix":""}],"container-title":"Nature","id":"ITEM-1","issue":"7937","issued":{"date-parts":[["2022"]]},"page":"659","publisher":"Nature","title":"California on fire, and can plants think? Books in brief","type":"article-journal","volume":"611"},"uris":["http://www.mendeley.com/documents/?uuid=15c7e82b-62c2-404a-8704-7cf260224fd4"]}],"mendeley":{"formattedCitation":"&lt;sup&gt;36&lt;/sup&gt;","plainTextFormattedCitation":"36","previouslyFormattedCitation":"&lt;sup&gt;36&lt;/sup&gt;"},"properties":{"noteIndex":0},"schema":"https://github.com/citation-style-language/schema/raw/master/csl-citation.json"}</w:instrText>
      </w:r>
      <w:r w:rsidR="0052201E">
        <w:rPr>
          <w:rFonts w:cstheme="majorBidi"/>
          <w:szCs w:val="24"/>
        </w:rPr>
        <w:fldChar w:fldCharType="separate"/>
      </w:r>
      <w:r w:rsidR="00F91554" w:rsidRPr="00F91554">
        <w:rPr>
          <w:rFonts w:cstheme="majorBidi"/>
          <w:noProof/>
          <w:szCs w:val="24"/>
          <w:vertAlign w:val="superscript"/>
        </w:rPr>
        <w:t>36</w:t>
      </w:r>
      <w:r w:rsidR="0052201E">
        <w:rPr>
          <w:rFonts w:cstheme="majorBidi"/>
          <w:szCs w:val="24"/>
        </w:rPr>
        <w:fldChar w:fldCharType="end"/>
      </w:r>
      <w:r w:rsidR="00B60CE8" w:rsidRPr="007A6B36">
        <w:rPr>
          <w:rFonts w:cstheme="majorBidi"/>
          <w:szCs w:val="24"/>
        </w:rPr>
        <w:t xml:space="preserve">. </w:t>
      </w:r>
      <w:r w:rsidR="00CC6FF2" w:rsidRPr="00CC6FF2">
        <w:rPr>
          <w:rFonts w:cstheme="majorBidi"/>
          <w:szCs w:val="24"/>
        </w:rPr>
        <w:t>Although asphalt is not inherently combustible, prolonged exposure to high heat or burning debris (</w:t>
      </w:r>
      <w:r w:rsidR="00CC6FF2">
        <w:rPr>
          <w:rFonts w:cstheme="majorBidi"/>
          <w:szCs w:val="24"/>
        </w:rPr>
        <w:t>i.e.</w:t>
      </w:r>
      <w:r w:rsidR="00CC6FF2" w:rsidRPr="00CC6FF2">
        <w:rPr>
          <w:rFonts w:cstheme="majorBidi"/>
          <w:szCs w:val="24"/>
        </w:rPr>
        <w:t>, vehicles, vegetation) can cause binder oxidation, volatilization</w:t>
      </w:r>
      <w:r w:rsidR="001752A1">
        <w:rPr>
          <w:rFonts w:cstheme="majorBidi"/>
          <w:szCs w:val="24"/>
        </w:rPr>
        <w:t xml:space="preserve"> combustion vapor at temperatures above its flash point</w:t>
      </w:r>
      <w:r w:rsidR="00CC6FF2" w:rsidRPr="00CC6FF2">
        <w:rPr>
          <w:rFonts w:cstheme="majorBidi"/>
          <w:szCs w:val="24"/>
        </w:rPr>
        <w:t xml:space="preserve">, and aggregate debonding, leading to surface scarring, deformation, and cracking. These damages are exacerbated by increased traffic from emergency response and debris removal operations, </w:t>
      </w:r>
      <w:r w:rsidR="00CC6FF2">
        <w:rPr>
          <w:rFonts w:cstheme="majorBidi"/>
          <w:szCs w:val="24"/>
        </w:rPr>
        <w:t>which impose heavy loads on already weakened pavements.</w:t>
      </w:r>
      <w:r w:rsidR="000E435F" w:rsidRPr="00A007E4">
        <w:rPr>
          <w:rFonts w:cstheme="majorBidi"/>
          <w:szCs w:val="24"/>
        </w:rPr>
        <w:t xml:space="preserve"> </w:t>
      </w:r>
    </w:p>
    <w:p w14:paraId="670294AD" w14:textId="788705E1" w:rsidR="00DA720D" w:rsidRDefault="004B6614" w:rsidP="000D4A0A">
      <w:pPr>
        <w:spacing w:line="240" w:lineRule="auto"/>
        <w:rPr>
          <w:rFonts w:cstheme="majorBidi"/>
          <w:szCs w:val="24"/>
        </w:rPr>
      </w:pPr>
      <w:r w:rsidRPr="004B6614">
        <w:rPr>
          <w:rFonts w:cstheme="majorBidi"/>
          <w:szCs w:val="24"/>
        </w:rPr>
        <w:t xml:space="preserve">Wildfires not only damage road surfaces but also disrupt transportation networks, hindering evacuation efforts and delaying emergency responses. The economic costs of repairing damaged infrastructure and the social impacts on affected communities are substantial. </w:t>
      </w:r>
      <w:r w:rsidR="000E435F" w:rsidRPr="00A007E4">
        <w:rPr>
          <w:rFonts w:cstheme="majorBidi"/>
          <w:szCs w:val="24"/>
        </w:rPr>
        <w:t>Understanding how wildfire conditions impact roadway temperatures is critical for assessing potential damage and planning safer evacuation routes</w:t>
      </w:r>
      <w:r w:rsidR="00B60CE8" w:rsidRPr="00A007E4">
        <w:rPr>
          <w:rFonts w:eastAsia="MS Gothic" w:cstheme="majorBidi"/>
          <w:szCs w:val="24"/>
        </w:rPr>
        <w:fldChar w:fldCharType="begin" w:fldLock="1"/>
      </w:r>
      <w:r w:rsidR="00C70391">
        <w:rPr>
          <w:rFonts w:eastAsia="MS Gothic" w:cstheme="majorBidi"/>
          <w:szCs w:val="24"/>
        </w:rPr>
        <w:instrText>ADDIN CSL_CITATION {"citationItems":[{"id":"ITEM-1","itemData":{"ISSN":"0921-030X","author":[{"dropping-particle":"","family":"Hamideh","given":"Sara","non-dropping-particle":"","parse-names":false,"suffix":""},{"dropping-particle":"","family":"Sen","given":"Payel","non-dropping-particle":"","parse-names":false,"suffix":""},{"dropping-particle":"","family":"Fischer","given":"Erica","non-dropping-particle":"","parse-names":false,"suffix":""}],"container-title":"Natural hazards","id":"ITEM-1","issued":{"date-parts":[["2022"]]},"page":"1-35","publisher":"Springer","title":"Wildfire impacts on education and healthcare: Paradise, California, after the Camp Fire","type":"article-journal"},"uris":["http://www.mendeley.com/documents/?uuid=f1c9bde4-4fee-463c-bf5b-1fb6efd3615f"]},{"id":"ITEM-2","itemData":{"ISSN":"1084-5453","author":[{"dropping-particle":"","family":"Bramwell","given":"Lincoln","non-dropping-particle":"","parse-names":false,"suffix":""}],"container-title":"Environmental History","id":"ITEM-2","issue":"3","issued":{"date-parts":[["2023"]]},"page":"467-494","publisher":"The University of Chicago Press Chicago, IL","title":"Understanding Wildfire in the Twenty-First Century: The Return of Disaster Fires","type":"article-journal","volume":"28"},"uris":["http://www.mendeley.com/documents/?uuid=d6f141f7-0ba4-4b27-b769-19c738ffbe21"]},{"id":"ITEM-3","itemData":{"ISSN":"2662-2521","author":[{"dropping-particle":"","family":"Barzegar","given":"Mohammadreza","non-dropping-particle":"","parse-names":false,"suffix":""},{"dropping-particle":"","family":"Wen","given":"Haifang","non-dropping-particle":"","parse-names":false,"suffix":""}],"container-title":"Journal of Infrastructure Preservation and Resilience","id":"ITEM-3","issue":"1","issued":{"date-parts":[["2023"]]},"page":"18","publisher":"Springer","title":"Modeling roadway temperatures for wildfire evacuation and assessment of pavement damage","type":"article-journal","volume":"4"},"uris":["http://www.mendeley.com/documents/?uuid=b0625062-ab3d-440a-8688-d9415c039524"]}],"mendeley":{"formattedCitation":"&lt;sup&gt;37–39&lt;/sup&gt;","plainTextFormattedCitation":"37–39","previouslyFormattedCitation":"&lt;sup&gt;37–39&lt;/sup&gt;"},"properties":{"noteIndex":0},"schema":"https://github.com/citation-style-language/schema/raw/master/csl-citation.json"}</w:instrText>
      </w:r>
      <w:r w:rsidR="00B60CE8" w:rsidRPr="00A007E4">
        <w:rPr>
          <w:rFonts w:eastAsia="MS Gothic" w:cstheme="majorBidi"/>
          <w:szCs w:val="24"/>
        </w:rPr>
        <w:fldChar w:fldCharType="separate"/>
      </w:r>
      <w:r w:rsidR="00F91554" w:rsidRPr="00F91554">
        <w:rPr>
          <w:rFonts w:eastAsia="MS Gothic" w:cstheme="majorBidi"/>
          <w:noProof/>
          <w:szCs w:val="24"/>
          <w:vertAlign w:val="superscript"/>
        </w:rPr>
        <w:t>37–39</w:t>
      </w:r>
      <w:r w:rsidR="00B60CE8" w:rsidRPr="00A007E4">
        <w:rPr>
          <w:rFonts w:eastAsia="MS Gothic" w:cstheme="majorBidi"/>
          <w:szCs w:val="24"/>
        </w:rPr>
        <w:fldChar w:fldCharType="end"/>
      </w:r>
      <w:r w:rsidR="00B60CE8" w:rsidRPr="00A007E4">
        <w:rPr>
          <w:rFonts w:cstheme="majorBidi"/>
          <w:szCs w:val="24"/>
        </w:rPr>
        <w:t>.</w:t>
      </w:r>
      <w:r w:rsidR="00BA4149" w:rsidRPr="00A007E4">
        <w:rPr>
          <w:rFonts w:cstheme="majorBidi"/>
          <w:szCs w:val="24"/>
        </w:rPr>
        <w:t xml:space="preserve"> </w:t>
      </w:r>
      <w:r w:rsidR="000E435F" w:rsidRPr="00A007E4">
        <w:rPr>
          <w:rFonts w:cstheme="majorBidi"/>
          <w:szCs w:val="24"/>
        </w:rPr>
        <w:t>Pavement temperatures within wildfire zones are not uniform; they vary significantly due to factors such as climate, fuel type, and topography. The highest temperatures are typically recorded</w:t>
      </w:r>
      <w:r w:rsidR="000E435F" w:rsidRPr="000E435F">
        <w:rPr>
          <w:rFonts w:cstheme="majorBidi"/>
          <w:szCs w:val="24"/>
        </w:rPr>
        <w:t xml:space="preserve"> at the fire's leading edge</w:t>
      </w:r>
      <w:r w:rsidR="0029198F">
        <w:rPr>
          <w:rFonts w:cstheme="majorBidi"/>
          <w:szCs w:val="24"/>
        </w:rPr>
        <w:t>-</w:t>
      </w:r>
      <w:r w:rsidR="000E435F" w:rsidRPr="000E435F">
        <w:rPr>
          <w:rFonts w:cstheme="majorBidi"/>
          <w:szCs w:val="24"/>
        </w:rPr>
        <w:t>the fire line</w:t>
      </w:r>
      <w:r w:rsidR="0029198F">
        <w:rPr>
          <w:rFonts w:cstheme="majorBidi"/>
          <w:szCs w:val="24"/>
        </w:rPr>
        <w:t>-</w:t>
      </w:r>
      <w:r w:rsidR="000E435F" w:rsidRPr="000E435F">
        <w:rPr>
          <w:rFonts w:cstheme="majorBidi"/>
          <w:szCs w:val="24"/>
        </w:rPr>
        <w:t>and decrease sharply as the fire progresses. Studies have shown that wildfire flame temperatures generally range from 850 to 950 K</w:t>
      </w:r>
      <w:r w:rsidR="000E435F" w:rsidRPr="007A6B36">
        <w:rPr>
          <w:rFonts w:cstheme="majorBidi"/>
          <w:szCs w:val="24"/>
        </w:rPr>
        <w:fldChar w:fldCharType="begin" w:fldLock="1"/>
      </w:r>
      <w:r w:rsidR="00C70391">
        <w:rPr>
          <w:rFonts w:cstheme="majorBidi"/>
          <w:szCs w:val="24"/>
        </w:rPr>
        <w:instrText>ADDIN CSL_CITATION {"citationItems":[{"id":"ITEM-1","itemData":{"ISSN":"0034-4257","author":[{"dropping-particle":"","family":"Dennison","given":"Philip E","non-dropping-particle":"","parse-names":false,"suffix":""},{"dropping-particle":"","family":"Charoensiri","given":"Kraivut","non-dropping-particle":"","parse-names":false,"suffix":""},{"dropping-particle":"","family":"Roberts","given":"Dar A","non-dropping-particle":"","parse-names":false,"suffix":""},{"dropping-particle":"","family":"Peterson","given":"Seth H","non-dropping-particle":"","parse-names":false,"suffix":""},{"dropping-particle":"","family":"Green","given":"Robert O","non-dropping-particle":"","parse-names":false,"suffix":""}],"container-title":"Remote Sensing of Environment","id":"ITEM-1","issue":"2","issued":{"date-parts":[["2006"]]},"page":"212-222","publisher":"Elsevier","title":"Wildfire temperature and land cover modeling using hyperspectral data","type":"article-journal","volume":"100"},"uris":["http://www.mendeley.com/documents/?uuid=6fdd3a87-d379-4d36-b16f-5e7fa51fe63f"]}],"mendeley":{"formattedCitation":"&lt;sup&gt;40&lt;/sup&gt;","plainTextFormattedCitation":"40","previouslyFormattedCitation":"&lt;sup&gt;40&lt;/sup&gt;"},"properties":{"noteIndex":0},"schema":"https://github.com/citation-style-language/schema/raw/master/csl-citation.json"}</w:instrText>
      </w:r>
      <w:r w:rsidR="000E435F" w:rsidRPr="007A6B36">
        <w:rPr>
          <w:rFonts w:cstheme="majorBidi"/>
          <w:szCs w:val="24"/>
        </w:rPr>
        <w:fldChar w:fldCharType="separate"/>
      </w:r>
      <w:r w:rsidR="00F91554" w:rsidRPr="00F91554">
        <w:rPr>
          <w:rFonts w:cstheme="majorBidi"/>
          <w:noProof/>
          <w:szCs w:val="24"/>
          <w:vertAlign w:val="superscript"/>
        </w:rPr>
        <w:t>40</w:t>
      </w:r>
      <w:r w:rsidR="000E435F" w:rsidRPr="007A6B36">
        <w:rPr>
          <w:rFonts w:cstheme="majorBidi"/>
          <w:szCs w:val="24"/>
        </w:rPr>
        <w:fldChar w:fldCharType="end"/>
      </w:r>
      <w:r w:rsidR="000E435F" w:rsidRPr="000E435F">
        <w:rPr>
          <w:rFonts w:cstheme="majorBidi"/>
          <w:szCs w:val="24"/>
        </w:rPr>
        <w:t>. The distance between a wildfire and a roadway significantly influences pavement temperature, with greater distances slowing the rate of temperature increase.</w:t>
      </w:r>
    </w:p>
    <w:p w14:paraId="36F759E5" w14:textId="32B4F7A9" w:rsidR="00CC6FF2" w:rsidRDefault="00CC6FF2" w:rsidP="000D4A0A">
      <w:pPr>
        <w:spacing w:line="240" w:lineRule="auto"/>
        <w:rPr>
          <w:rFonts w:cstheme="majorBidi"/>
          <w:szCs w:val="24"/>
        </w:rPr>
      </w:pPr>
      <w:r>
        <w:rPr>
          <w:rFonts w:cstheme="majorBidi"/>
          <w:szCs w:val="24"/>
        </w:rPr>
        <w:t>Multi-hazard interactions amplify the complexity of wildfire impacts</w:t>
      </w:r>
      <w:r w:rsidRPr="00CC6FF2">
        <w:rPr>
          <w:rFonts w:cstheme="majorBidi"/>
          <w:szCs w:val="24"/>
        </w:rPr>
        <w:t xml:space="preserve">. For instance, in January 2018, post-fire heavy rains in Montecito, California, triggered catastrophic floods and debris </w:t>
      </w:r>
      <w:r w:rsidRPr="00CC6FF2">
        <w:rPr>
          <w:rFonts w:cstheme="majorBidi"/>
          <w:szCs w:val="24"/>
        </w:rPr>
        <w:lastRenderedPageBreak/>
        <w:t>flows, resulting in fatalities, community destruction, and a two-week closure of a major highway</w:t>
      </w:r>
      <w:r w:rsidRPr="001262C6">
        <w:rPr>
          <w:rFonts w:cstheme="majorBidi"/>
          <w:szCs w:val="24"/>
        </w:rPr>
        <w:fldChar w:fldCharType="begin" w:fldLock="1"/>
      </w:r>
      <w:r w:rsidR="00C70391">
        <w:rPr>
          <w:rFonts w:cstheme="majorBidi"/>
          <w:szCs w:val="24"/>
        </w:rPr>
        <w:instrText>ADDIN CSL_CITATION {"citationItems":[{"id":"ITEM-1","itemData":{"author":[{"dropping-particle":"","family":"Tiwari","given":"Binod","non-dropping-particle":"","parse-names":false,"suffix":""},{"dropping-particle":"","family":"Ajmera","given":"Beena","non-dropping-particle":"","parse-names":false,"suffix":""},{"dropping-particle":"","family":"Gonzalez","given":"Anthony","non-dropping-particle":"","parse-names":false,"suffix":""},{"dropping-particle":"","family":"Sonbol","given":"Hashem","non-dropping-particle":"","parse-names":false,"suffix":""}],"container-title":"Geo-congress 2020","id":"ITEM-1","issued":{"date-parts":[["2020"]]},"page":"40-49","publisher":"American Society of Civil Engineers Reston, VA","title":"Impact of wildfire on triggering mudslides—a case study of 2018 Montecito debris flows","type":"paper-conference"},"uris":["http://www.mendeley.com/documents/?uuid=321fa35e-7c2e-43fd-965b-60f045181afc"]}],"mendeley":{"formattedCitation":"&lt;sup&gt;41&lt;/sup&gt;","plainTextFormattedCitation":"41","previouslyFormattedCitation":"&lt;sup&gt;41&lt;/sup&gt;"},"properties":{"noteIndex":0},"schema":"https://github.com/citation-style-language/schema/raw/master/csl-citation.json"}</w:instrText>
      </w:r>
      <w:r w:rsidRPr="001262C6">
        <w:rPr>
          <w:rFonts w:cstheme="majorBidi"/>
          <w:szCs w:val="24"/>
        </w:rPr>
        <w:fldChar w:fldCharType="separate"/>
      </w:r>
      <w:r w:rsidRPr="00F91554">
        <w:rPr>
          <w:rFonts w:cstheme="majorBidi"/>
          <w:noProof/>
          <w:szCs w:val="24"/>
          <w:vertAlign w:val="superscript"/>
        </w:rPr>
        <w:t>41</w:t>
      </w:r>
      <w:r w:rsidRPr="001262C6">
        <w:rPr>
          <w:rFonts w:cstheme="majorBidi"/>
          <w:szCs w:val="24"/>
        </w:rPr>
        <w:fldChar w:fldCharType="end"/>
      </w:r>
      <w:r w:rsidRPr="00CC6FF2">
        <w:rPr>
          <w:rFonts w:cstheme="majorBidi"/>
          <w:szCs w:val="24"/>
        </w:rPr>
        <w:t>. Such cascading events expose the limitations of reactive mitigation programs, which often lack the capacity to address compound hazards. Proactive initiatives like the Four Forest Restoration Initiative (4FRI) aim to reduce wildfire spread and protect communities, yet transportation corridors outside these zones remain highly vulnerable. These challenges underscore the need for risk-based design standards that account for wildfire-induced thermal loads and subsequent geohazards</w:t>
      </w:r>
      <w:r>
        <w:rPr>
          <w:rFonts w:cstheme="majorBidi"/>
          <w:szCs w:val="24"/>
        </w:rPr>
        <w:fldChar w:fldCharType="begin" w:fldLock="1"/>
      </w:r>
      <w:r w:rsidR="00C70391">
        <w:rPr>
          <w:rFonts w:cstheme="majorBidi"/>
          <w:szCs w:val="24"/>
        </w:rPr>
        <w:instrText>ADDIN CSL_CITATION {"citationItems":[{"id":"ITEM-1","itemData":{"ISSN":"2378-9689","author":[{"dropping-particle":"","family":"Fraser","given":"Andrew M","non-dropping-particle":"","parse-names":false,"suffix":""},{"dropping-particle":"V","family":"Chester","given":"Mikhail","non-dropping-particle":"","parse-names":false,"suffix":""},{"dropping-particle":"","family":"Underwood","given":"B Shane","non-dropping-particle":"","parse-names":false,"suffix":""}],"container-title":"Sustainable and Resilient Infrastructure","id":"ITEM-1","issue":"3","issued":{"date-parts":[["2022"]]},"page":"188-200","publisher":"Taylor &amp; Francis","title":"Wildfire risk, post-fire debris flows, and transportation infrastructure vulnerability","type":"article-journal","volume":"7"},"uris":["http://www.mendeley.com/documents/?uuid=d382e981-c984-4b59-a1ba-64ff92331029"]}],"mendeley":{"formattedCitation":"&lt;sup&gt;42&lt;/sup&gt;","plainTextFormattedCitation":"42","previouslyFormattedCitation":"&lt;sup&gt;42&lt;/sup&gt;"},"properties":{"noteIndex":0},"schema":"https://github.com/citation-style-language/schema/raw/master/csl-citation.json"}</w:instrText>
      </w:r>
      <w:r>
        <w:rPr>
          <w:rFonts w:cstheme="majorBidi"/>
          <w:szCs w:val="24"/>
        </w:rPr>
        <w:fldChar w:fldCharType="separate"/>
      </w:r>
      <w:r w:rsidRPr="00F91554">
        <w:rPr>
          <w:rFonts w:cstheme="majorBidi"/>
          <w:noProof/>
          <w:szCs w:val="24"/>
          <w:vertAlign w:val="superscript"/>
        </w:rPr>
        <w:t>42</w:t>
      </w:r>
      <w:r>
        <w:rPr>
          <w:rFonts w:cstheme="majorBidi"/>
          <w:szCs w:val="24"/>
        </w:rPr>
        <w:fldChar w:fldCharType="end"/>
      </w:r>
      <w:r w:rsidRPr="00CC6FF2">
        <w:rPr>
          <w:rFonts w:cstheme="majorBidi"/>
          <w:szCs w:val="24"/>
        </w:rPr>
        <w:t>.</w:t>
      </w:r>
    </w:p>
    <w:p w14:paraId="10A71AFD" w14:textId="70590185" w:rsidR="000E435F" w:rsidRDefault="000E435F" w:rsidP="000D4A0A">
      <w:pPr>
        <w:pStyle w:val="Heading3"/>
        <w:spacing w:line="240" w:lineRule="auto"/>
      </w:pPr>
      <w:r>
        <w:t>Mitigation Strategy</w:t>
      </w:r>
    </w:p>
    <w:p w14:paraId="17EB662D" w14:textId="20D6D10E" w:rsidR="000E435F" w:rsidRDefault="0076127A" w:rsidP="000D4A0A">
      <w:pPr>
        <w:spacing w:line="240" w:lineRule="auto"/>
        <w:rPr>
          <w:rFonts w:cstheme="majorBidi"/>
          <w:szCs w:val="24"/>
        </w:rPr>
      </w:pPr>
      <w:r w:rsidRPr="0076127A">
        <w:rPr>
          <w:rFonts w:cstheme="majorBidi"/>
          <w:szCs w:val="24"/>
        </w:rPr>
        <w:t xml:space="preserve">At the network scale, strategic vegetation management is crucial </w:t>
      </w:r>
      <w:r w:rsidR="00CC6FF2">
        <w:rPr>
          <w:rFonts w:cstheme="majorBidi"/>
          <w:szCs w:val="24"/>
        </w:rPr>
        <w:t>to</w:t>
      </w:r>
      <w:r w:rsidRPr="0076127A">
        <w:rPr>
          <w:rFonts w:cstheme="majorBidi"/>
          <w:szCs w:val="24"/>
        </w:rPr>
        <w:t xml:space="preserve"> reduc</w:t>
      </w:r>
      <w:r w:rsidR="00CC6FF2">
        <w:rPr>
          <w:rFonts w:cstheme="majorBidi"/>
          <w:szCs w:val="24"/>
        </w:rPr>
        <w:t>e</w:t>
      </w:r>
      <w:r w:rsidRPr="0076127A">
        <w:rPr>
          <w:rFonts w:cstheme="majorBidi"/>
          <w:szCs w:val="24"/>
        </w:rPr>
        <w:t xml:space="preserve"> fire </w:t>
      </w:r>
      <w:r w:rsidR="00CC6FF2">
        <w:rPr>
          <w:rFonts w:cstheme="majorBidi"/>
          <w:szCs w:val="24"/>
        </w:rPr>
        <w:t>exposure</w:t>
      </w:r>
      <w:r w:rsidRPr="0076127A">
        <w:rPr>
          <w:rFonts w:cstheme="majorBidi"/>
          <w:szCs w:val="24"/>
        </w:rPr>
        <w:t xml:space="preserve">. Removing combustible materials and increasing the width of vegetation-free roadside zones can significantly lower the </w:t>
      </w:r>
      <w:r w:rsidR="00CC6FF2">
        <w:rPr>
          <w:rFonts w:cstheme="majorBidi"/>
          <w:szCs w:val="24"/>
        </w:rPr>
        <w:t>probability</w:t>
      </w:r>
      <w:r w:rsidRPr="0076127A">
        <w:rPr>
          <w:rFonts w:cstheme="majorBidi"/>
          <w:szCs w:val="24"/>
        </w:rPr>
        <w:t xml:space="preserve"> of fires affecting roadways. Creating wider cleared areas along roads acts as a fuel break, slowing </w:t>
      </w:r>
      <w:r w:rsidR="00CC6FF2">
        <w:rPr>
          <w:rFonts w:cstheme="majorBidi"/>
          <w:szCs w:val="24"/>
        </w:rPr>
        <w:t xml:space="preserve">the spread of wildfires </w:t>
      </w:r>
      <w:r w:rsidRPr="0076127A">
        <w:rPr>
          <w:rFonts w:cstheme="majorBidi"/>
          <w:szCs w:val="24"/>
        </w:rPr>
        <w:t>and reducing heat exposure to pavements. This practice is vital near tunnels, residential areas, and other high-risk zones where road closures can have severe consequences</w:t>
      </w:r>
      <w:r w:rsidR="000E435F" w:rsidRPr="007A4215">
        <w:rPr>
          <w:rFonts w:cstheme="majorBidi"/>
          <w:szCs w:val="24"/>
        </w:rPr>
        <w:t>.</w:t>
      </w:r>
      <w:r w:rsidR="004B6614" w:rsidRPr="007A4215">
        <w:t xml:space="preserve"> </w:t>
      </w:r>
      <w:r w:rsidR="004B6614" w:rsidRPr="007A4215">
        <w:rPr>
          <w:rFonts w:cstheme="majorBidi"/>
          <w:szCs w:val="24"/>
        </w:rPr>
        <w:t>Implementing wider vegetation-free zones requires coordination with land management agencies and may face challenges such as land ownership issues or environmental concerns. However, successful cases like the fuel breaks established along highways in Australia demonstrate the effectiveness of this approach</w:t>
      </w:r>
      <w:r w:rsidR="007A4215" w:rsidRPr="007A4215">
        <w:rPr>
          <w:rFonts w:cstheme="majorBidi"/>
          <w:szCs w:val="24"/>
        </w:rPr>
        <w:fldChar w:fldCharType="begin" w:fldLock="1"/>
      </w:r>
      <w:r w:rsidR="00C70391">
        <w:rPr>
          <w:rFonts w:cstheme="majorBidi"/>
          <w:szCs w:val="24"/>
        </w:rPr>
        <w:instrText>ADDIN CSL_CITATION {"citationItems":[{"id":"ITEM-1","itemData":{"author":[{"dropping-particle":"","family":"Ascoli","given":"Davide","non-dropping-particle":"","parse-names":false,"suffix":""},{"dropping-particle":"","family":"Russo","given":"Lucia","non-dropping-particle":"","parse-names":false,"suffix":""},{"dropping-particle":"","family":"Giannino","given":"Francesco","non-dropping-particle":"","parse-names":false,"suffix":""},{"dropping-particle":"","family":"Siettos","given":"Constantinos","non-dropping-particle":"","parse-names":false,"suffix":""},{"dropping-particle":"","family":"Moreira","given":"Francisco","non-dropping-particle":"","parse-names":false,"suffix":""}],"container-title":"Encyclopedia of wildfires and wildland-urban interface (WUI) fires","id":"ITEM-1","issued":{"date-parts":[["2020"]]},"page":"444-452","publisher":"Springer","title":"Firebreak and fuelbreak","type":"chapter"},"uris":["http://www.mendeley.com/documents/?uuid=eec02a49-4a51-4f5d-aead-900b37d5b754"]}],"mendeley":{"formattedCitation":"&lt;sup&gt;43&lt;/sup&gt;","plainTextFormattedCitation":"43","previouslyFormattedCitation":"&lt;sup&gt;43&lt;/sup&gt;"},"properties":{"noteIndex":0},"schema":"https://github.com/citation-style-language/schema/raw/master/csl-citation.json"}</w:instrText>
      </w:r>
      <w:r w:rsidR="007A4215" w:rsidRPr="007A4215">
        <w:rPr>
          <w:rFonts w:cstheme="majorBidi"/>
          <w:szCs w:val="24"/>
        </w:rPr>
        <w:fldChar w:fldCharType="separate"/>
      </w:r>
      <w:r w:rsidR="00F91554" w:rsidRPr="00F91554">
        <w:rPr>
          <w:rFonts w:cstheme="majorBidi"/>
          <w:noProof/>
          <w:szCs w:val="24"/>
          <w:vertAlign w:val="superscript"/>
        </w:rPr>
        <w:t>43</w:t>
      </w:r>
      <w:r w:rsidR="007A4215" w:rsidRPr="007A4215">
        <w:rPr>
          <w:rFonts w:cstheme="majorBidi"/>
          <w:szCs w:val="24"/>
        </w:rPr>
        <w:fldChar w:fldCharType="end"/>
      </w:r>
      <w:r w:rsidR="004B6614" w:rsidRPr="007A4215">
        <w:rPr>
          <w:rFonts w:cstheme="majorBidi"/>
          <w:szCs w:val="24"/>
        </w:rPr>
        <w:t>.</w:t>
      </w:r>
    </w:p>
    <w:p w14:paraId="02466ACF" w14:textId="65C56044" w:rsidR="000E435F" w:rsidRDefault="004B6614" w:rsidP="000D4A0A">
      <w:pPr>
        <w:spacing w:line="240" w:lineRule="auto"/>
        <w:rPr>
          <w:rFonts w:cstheme="majorBidi"/>
          <w:szCs w:val="24"/>
        </w:rPr>
      </w:pPr>
      <w:r w:rsidRPr="004B6614">
        <w:rPr>
          <w:rFonts w:cstheme="majorBidi"/>
          <w:szCs w:val="24"/>
        </w:rPr>
        <w:t>To understand the effect of vegetation-free roadside zones, a</w:t>
      </w:r>
      <w:r w:rsidR="0029198F">
        <w:rPr>
          <w:rFonts w:cstheme="majorBidi"/>
          <w:szCs w:val="24"/>
        </w:rPr>
        <w:t xml:space="preserve"> </w:t>
      </w:r>
      <w:r w:rsidR="0029198F">
        <w:t xml:space="preserve">screening </w:t>
      </w:r>
      <w:r w:rsidRPr="004B6614">
        <w:rPr>
          <w:rFonts w:cstheme="majorBidi"/>
          <w:szCs w:val="24"/>
        </w:rPr>
        <w:t xml:space="preserve">heat transfer model was </w:t>
      </w:r>
      <w:r w:rsidR="0029198F" w:rsidRPr="0029198F">
        <w:rPr>
          <w:rFonts w:cstheme="majorBidi"/>
          <w:szCs w:val="24"/>
        </w:rPr>
        <w:t>used to estimate air temperature 1 m above the roadway as a function of fire height and distance from the road edge</w:t>
      </w:r>
      <w:r w:rsidRPr="004B6614">
        <w:rPr>
          <w:rFonts w:cstheme="majorBidi"/>
          <w:szCs w:val="24"/>
        </w:rPr>
        <w:t xml:space="preserve">. By combining convective heat transfer and radiative heat flux equations, the model </w:t>
      </w:r>
      <w:r w:rsidR="0029198F">
        <w:rPr>
          <w:rFonts w:cstheme="majorBidi"/>
          <w:szCs w:val="24"/>
        </w:rPr>
        <w:t xml:space="preserve">simply </w:t>
      </w:r>
      <w:r w:rsidRPr="004B6614">
        <w:rPr>
          <w:rFonts w:cstheme="majorBidi"/>
          <w:szCs w:val="24"/>
        </w:rPr>
        <w:t>calculates the temperature rise due to the fire's proximity. The total distance between the fire and the observation point is calculated using the Pythagorean theorem, accounting for both horizontal and vertical separation</w:t>
      </w:r>
      <w:r w:rsidR="00F02D45" w:rsidRPr="00F02D45">
        <w:rPr>
          <w:rFonts w:cstheme="majorBidi"/>
          <w:szCs w:val="24"/>
        </w:rPr>
        <w:t>.</w:t>
      </w:r>
      <w:r w:rsidR="0029198F">
        <w:rPr>
          <w:rFonts w:cstheme="majorBidi"/>
          <w:szCs w:val="24"/>
        </w:rPr>
        <w:t xml:space="preserve"> Note that, </w:t>
      </w:r>
      <w:r w:rsidR="0029198F" w:rsidRPr="0029198F">
        <w:rPr>
          <w:rFonts w:cstheme="majorBidi"/>
          <w:szCs w:val="24"/>
        </w:rPr>
        <w:t>the calculation is not a validated pavement-temperature model and should not be used directly to establish roadside-clearance requirements</w:t>
      </w:r>
      <w:r w:rsidR="0029198F">
        <w:rPr>
          <w:rFonts w:cstheme="majorBidi"/>
          <w:szCs w:val="24"/>
        </w:rPr>
        <w:t>.</w:t>
      </w:r>
    </w:p>
    <w:p w14:paraId="7E399299" w14:textId="33941833" w:rsidR="00F02D45" w:rsidRDefault="00F02D45" w:rsidP="000D4A0A">
      <w:pPr>
        <w:spacing w:line="240" w:lineRule="auto"/>
        <w:rPr>
          <w:rFonts w:cstheme="majorBidi"/>
          <w:szCs w:val="24"/>
        </w:rPr>
      </w:pPr>
      <w:r>
        <w:rPr>
          <w:rFonts w:cstheme="majorBidi"/>
          <w:szCs w:val="24"/>
        </w:rPr>
        <w:fldChar w:fldCharType="begin"/>
      </w:r>
      <w:r>
        <w:rPr>
          <w:rFonts w:cstheme="majorBidi"/>
          <w:szCs w:val="24"/>
        </w:rPr>
        <w:instrText xml:space="preserve"> REF _Ref179030290 \h </w:instrText>
      </w:r>
      <w:r>
        <w:rPr>
          <w:rFonts w:cstheme="majorBidi"/>
          <w:szCs w:val="24"/>
        </w:rPr>
      </w:r>
      <w:r w:rsidR="00E65898">
        <w:rPr>
          <w:rFonts w:cstheme="majorBidi"/>
          <w:szCs w:val="24"/>
        </w:rPr>
        <w:instrText xml:space="preserve"> \* MERGEFORMAT </w:instrText>
      </w:r>
      <w:r>
        <w:rPr>
          <w:rFonts w:cstheme="majorBidi"/>
          <w:szCs w:val="24"/>
        </w:rPr>
        <w:fldChar w:fldCharType="separate"/>
      </w:r>
      <w:r w:rsidR="004B6614">
        <w:t xml:space="preserve">Figure </w:t>
      </w:r>
      <w:r w:rsidR="004B6614">
        <w:rPr>
          <w:noProof/>
        </w:rPr>
        <w:t>5</w:t>
      </w:r>
      <w:r>
        <w:rPr>
          <w:rFonts w:cstheme="majorBidi"/>
          <w:szCs w:val="24"/>
        </w:rPr>
        <w:fldChar w:fldCharType="end"/>
      </w:r>
      <w:r>
        <w:rPr>
          <w:rFonts w:cstheme="majorBidi"/>
          <w:szCs w:val="24"/>
        </w:rPr>
        <w:t xml:space="preserve"> </w:t>
      </w:r>
      <w:r w:rsidR="004048D2" w:rsidRPr="004048D2">
        <w:rPr>
          <w:rFonts w:cstheme="majorBidi"/>
          <w:szCs w:val="24"/>
        </w:rPr>
        <w:t>illustrates the relationship between fire height, distance, and air temperature. Results indicate that as fire height increases and the fire approaches the roadway, air temperature rises sharply, reaching 160.5 °C at a fire height of 9 m and a distance of 6 m from the road edge. Such extreme conditions can severely compromise pavement integrity and create unsafe conditions for vehicles and emergency personnel. Conversely, temperature decreases significantly with increased separation, reinforcing the importance of maintaining adequate buffer zones to protect critical transportation routes during wildfire events</w:t>
      </w:r>
      <w:r w:rsidRPr="00F02D45">
        <w:rPr>
          <w:rFonts w:cstheme="majorBidi"/>
          <w:szCs w:val="24"/>
        </w:rPr>
        <w:t>.</w:t>
      </w:r>
    </w:p>
    <w:p w14:paraId="72BD6AD0" w14:textId="77777777" w:rsidR="00F02D45" w:rsidRDefault="00F02D45" w:rsidP="000D4A0A">
      <w:pPr>
        <w:keepNext/>
        <w:spacing w:line="240" w:lineRule="auto"/>
        <w:jc w:val="center"/>
      </w:pPr>
      <w:r>
        <w:rPr>
          <w:noProof/>
        </w:rPr>
        <w:lastRenderedPageBreak/>
        <w:drawing>
          <wp:inline distT="0" distB="0" distL="0" distR="0" wp14:anchorId="20F665AB" wp14:editId="27A70FC3">
            <wp:extent cx="3702050" cy="295214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2310" cy="2952355"/>
                    </a:xfrm>
                    <a:prstGeom prst="rect">
                      <a:avLst/>
                    </a:prstGeom>
                    <a:noFill/>
                    <a:ln>
                      <a:noFill/>
                    </a:ln>
                  </pic:spPr>
                </pic:pic>
              </a:graphicData>
            </a:graphic>
          </wp:inline>
        </w:drawing>
      </w:r>
    </w:p>
    <w:p w14:paraId="5F5ACD84" w14:textId="4AFF4ED0" w:rsidR="00F02D45" w:rsidRDefault="00F02D45" w:rsidP="000D4A0A">
      <w:pPr>
        <w:pStyle w:val="Caption"/>
        <w:jc w:val="center"/>
        <w:rPr>
          <w:rFonts w:cstheme="majorBidi"/>
          <w:szCs w:val="24"/>
        </w:rPr>
      </w:pPr>
      <w:bookmarkStart w:id="0" w:name="_Ref179030290"/>
      <w:r>
        <w:t xml:space="preserve">Figure </w:t>
      </w:r>
      <w:fldSimple w:instr=" SEQ Figure \* ARABIC ">
        <w:r w:rsidR="004B6614">
          <w:rPr>
            <w:noProof/>
          </w:rPr>
          <w:t>5</w:t>
        </w:r>
      </w:fldSimple>
      <w:bookmarkEnd w:id="0"/>
      <w:r>
        <w:t xml:space="preserve">. </w:t>
      </w:r>
      <w:r w:rsidR="004048D2">
        <w:t xml:space="preserve">The air temperature above the pavement surface varies during wildfires at different fire distances and heights from the </w:t>
      </w:r>
      <w:r>
        <w:t>road edge</w:t>
      </w:r>
      <w:r w:rsidR="0076127A">
        <w:t>.</w:t>
      </w:r>
    </w:p>
    <w:p w14:paraId="75E33CF8" w14:textId="0562EFBF" w:rsidR="004048D2" w:rsidRDefault="0029198F" w:rsidP="000D4A0A">
      <w:pPr>
        <w:spacing w:line="240" w:lineRule="auto"/>
      </w:pPr>
      <w:r w:rsidRPr="0029198F">
        <w:t xml:space="preserve">Post-fire recovery traffic can also affect pavement performance. </w:t>
      </w:r>
      <w:r w:rsidR="004048D2" w:rsidRPr="004048D2">
        <w:t>Following the Camp Fire, the removal of over 3.6 million tons of debris imposed heavy loads on local roads, reducing pavement life by several years</w:t>
      </w:r>
      <w:r w:rsidR="004048D2">
        <w:rPr>
          <w:rFonts w:cstheme="majorBidi"/>
          <w:szCs w:val="24"/>
        </w:rPr>
        <w:fldChar w:fldCharType="begin" w:fldLock="1"/>
      </w:r>
      <w:r w:rsidR="00C70391">
        <w:rPr>
          <w:rFonts w:cstheme="majorBidi"/>
          <w:szCs w:val="24"/>
        </w:rPr>
        <w:instrText>ADDIN CSL_CITATION {"citationItems":[{"id":"ITEM-1","itemData":{"ISSN":"2398-9629","author":[{"dropping-particle":"","family":"Modaresi Rad","given":"Arash","non-dropping-particle":"","parse-names":false,"suffix":""},{"dropping-particle":"","family":"Abatzoglou","given":"John T","non-dropping-particle":"","parse-names":false,"suffix":""},{"dropping-particle":"","family":"Kreitler","given":"Jason","non-dropping-particle":"","parse-names":false,"suffix":""},{"dropping-particle":"","family":"Alizadeh","given":"Mohammad Reza","non-dropping-particle":"","parse-names":false,"suffix":""},{"dropping-particle":"","family":"AghaKouchak","given":"Amir","non-dropping-particle":"","parse-names":false,"suffix":""},{"dropping-particle":"","family":"Hudyma","given":"Nicholas","non-dropping-particle":"","parse-names":false,"suffix":""},{"dropping-particle":"","family":"Nauslar","given":"Nicholas J","non-dropping-particle":"","parse-names":false,"suffix":""},{"dropping-particle":"","family":"Sadegh","given":"Mojtaba","non-dropping-particle":"","parse-names":false,"suffix":""}],"container-title":"Nature Sustainability","id":"ITEM-1","issue":"11","issued":{"date-parts":[["2023"]]},"page":"1343-1351","publisher":"Nature Publishing Group UK London","title":"Human and infrastructure exposure to large wildfires in the United States","type":"article-journal","volume":"6"},"uris":["http://www.mendeley.com/documents/?uuid=f3496e2c-a153-40b3-b95d-cc819a19a92c"]}],"mendeley":{"formattedCitation":"&lt;sup&gt;44&lt;/sup&gt;","plainTextFormattedCitation":"44","previouslyFormattedCitation":"&lt;sup&gt;44&lt;/sup&gt;"},"properties":{"noteIndex":0},"schema":"https://github.com/citation-style-language/schema/raw/master/csl-citation.json"}</w:instrText>
      </w:r>
      <w:r w:rsidR="004048D2">
        <w:rPr>
          <w:rFonts w:cstheme="majorBidi"/>
          <w:szCs w:val="24"/>
        </w:rPr>
        <w:fldChar w:fldCharType="separate"/>
      </w:r>
      <w:r w:rsidR="004048D2" w:rsidRPr="00F91554">
        <w:rPr>
          <w:rFonts w:cstheme="majorBidi"/>
          <w:noProof/>
          <w:szCs w:val="24"/>
          <w:vertAlign w:val="superscript"/>
        </w:rPr>
        <w:t>44</w:t>
      </w:r>
      <w:r w:rsidR="004048D2">
        <w:rPr>
          <w:rFonts w:cstheme="majorBidi"/>
          <w:szCs w:val="24"/>
        </w:rPr>
        <w:fldChar w:fldCharType="end"/>
      </w:r>
      <w:r w:rsidR="004048D2" w:rsidRPr="004048D2">
        <w:t>. Strategic debris management</w:t>
      </w:r>
      <w:r w:rsidR="004048D2">
        <w:t xml:space="preserve">, </w:t>
      </w:r>
      <w:r w:rsidR="004048D2" w:rsidRPr="004048D2">
        <w:t>such as routing heavy vehicles onto more durable pavements or designating alternative haul routes</w:t>
      </w:r>
      <w:r w:rsidR="004048D2">
        <w:t xml:space="preserve">, </w:t>
      </w:r>
      <w:r w:rsidR="004048D2" w:rsidRPr="004048D2">
        <w:t>can mitigate long-term damage. Incorporating pavement condition assessments into recovery plans is essential to prevent accelerated deterioration. Advanced tools like ground-penetrating radar (GPR) can detect subsurface damage, enabling targeted maintenance and reducing lifecycle costs</w:t>
      </w:r>
      <w:r w:rsidR="004048D2" w:rsidRPr="007A4215">
        <w:fldChar w:fldCharType="begin" w:fldLock="1"/>
      </w:r>
      <w:r w:rsidR="00C70391">
        <w:instrText>ADDIN CSL_CITATION {"citationItems":[{"id":"ITEM-1","itemData":{"author":[{"dropping-particle":"","family":"Nassiri","given":"Somayeh","non-dropping-particle":"","parse-names":false,"suffix":""},{"dropping-particle":"","family":"Butt","given":"Ali Azhar","non-dropping-particle":"","parse-names":false,"suffix":""},{"dropping-particle":"","family":"Zarei","given":"Ali","non-dropping-particle":"","parse-names":false,"suffix":""},{"dropping-particle":"","family":"Kim","given":"Changmo","non-dropping-particle":"","parse-names":false,"suffix":""},{"dropping-particle":"","family":"Wu","given":"Rongzong","non-dropping-particle":"","parse-names":false,"suffix":""},{"dropping-particle":"","family":"Lea","given":"Jeremy David","non-dropping-particle":"","parse-names":false,"suffix":""},{"dropping-particle":"","family":"Erdahl","given":"Jessica","non-dropping-particle":"","parse-names":false,"suffix":""}],"id":"ITEM-1","issued":{"date-parts":[["2023"]]},"title":"Evaluating Road Resilience to Wildfires: Case Studies of Camp and Carr Fires","type":"article-journal"},"uris":["http://www.mendeley.com/documents/?uuid=d525d3f4-d98f-4fde-af2b-0f7f53efadc3"]}],"mendeley":{"formattedCitation":"&lt;sup&gt;45&lt;/sup&gt;","plainTextFormattedCitation":"45","previouslyFormattedCitation":"&lt;sup&gt;45&lt;/sup&gt;"},"properties":{"noteIndex":0},"schema":"https://github.com/citation-style-language/schema/raw/master/csl-citation.json"}</w:instrText>
      </w:r>
      <w:r w:rsidR="004048D2" w:rsidRPr="007A4215">
        <w:fldChar w:fldCharType="separate"/>
      </w:r>
      <w:r w:rsidR="004048D2" w:rsidRPr="00F91554">
        <w:rPr>
          <w:noProof/>
          <w:vertAlign w:val="superscript"/>
        </w:rPr>
        <w:t>45</w:t>
      </w:r>
      <w:r w:rsidR="004048D2" w:rsidRPr="007A4215">
        <w:fldChar w:fldCharType="end"/>
      </w:r>
      <w:r w:rsidR="004048D2" w:rsidRPr="004048D2">
        <w:t>.</w:t>
      </w:r>
    </w:p>
    <w:p w14:paraId="1EC193A9" w14:textId="4EFE2E8C" w:rsidR="00F02D45" w:rsidRDefault="004048D2" w:rsidP="000D4A0A">
      <w:pPr>
        <w:spacing w:line="240" w:lineRule="auto"/>
      </w:pPr>
      <w:r w:rsidRPr="004048D2">
        <w:t>Addressing wildfire-related risks requires a multi-layered approach, combining design adaptations, operational planning, and policy integration. Policies should mandate regular inspections, allocate dedicated funding for timely repairs, and incorporate risk-based design standards that account for wildfire-induced thermal loads and subsequent hazards such as flooding and debris flows. Embedding these measures into transportation resilience frameworks ensures that road networks can withstand both the immediate and cascading impacts of wildfires.</w:t>
      </w:r>
    </w:p>
    <w:p w14:paraId="462B48AE" w14:textId="52D12AE3" w:rsidR="000841A7" w:rsidRPr="007A6B36" w:rsidRDefault="000841A7" w:rsidP="000D4A0A">
      <w:pPr>
        <w:pStyle w:val="Heading1"/>
        <w:spacing w:line="240" w:lineRule="auto"/>
      </w:pPr>
      <w:r w:rsidRPr="007A6B36">
        <w:t>Conclusion</w:t>
      </w:r>
    </w:p>
    <w:p w14:paraId="479553ED" w14:textId="7960F21B" w:rsidR="00A654B2" w:rsidRDefault="0029198F" w:rsidP="000D4A0A">
      <w:pPr>
        <w:spacing w:line="240" w:lineRule="auto"/>
        <w:rPr>
          <w:rFonts w:cstheme="majorBidi"/>
          <w:szCs w:val="24"/>
        </w:rPr>
      </w:pPr>
      <w:r w:rsidRPr="0029198F">
        <w:rPr>
          <w:rFonts w:cstheme="majorBidi"/>
          <w:szCs w:val="24"/>
        </w:rPr>
        <w:t>Climate change requires roadway design and asset management to move beyond unexamined assumptions of climate stationarity toward adaptive, risk-informed practice. This perspective considered flooding and erosion, extreme heat, and wildfire as interacting threats to roadway function and durability. Published evidence supports updating climatic design inputs, improving drainage and erosion protection, selecting materials for projected service conditions, managing roadside fuels, and planning recovery traffic. The numerical examples in this paper are screening-level illustrations: they show expected qualitative sensitivities but do not establish field-validated performance gains, universal buffer widths, or design thresholds. Future work should calibrate the erosion and heat-transfer models with material-specific laboratory data and field measurements, quantify uncertainty, and evaluate life-cycle performance and implementation constraints before these strategies are adopted in specifications</w:t>
      </w:r>
      <w:r w:rsidR="00A654B2" w:rsidRPr="00A654B2">
        <w:rPr>
          <w:rFonts w:cstheme="majorBidi"/>
          <w:szCs w:val="24"/>
        </w:rPr>
        <w:t>.</w:t>
      </w:r>
    </w:p>
    <w:p w14:paraId="7106C17B" w14:textId="27AB0FEA" w:rsidR="004D06E7" w:rsidRDefault="009A5A49" w:rsidP="000D4A0A">
      <w:pPr>
        <w:pStyle w:val="Heading1"/>
        <w:spacing w:line="240" w:lineRule="auto"/>
      </w:pPr>
      <w:r>
        <w:t>Competing financial interests</w:t>
      </w:r>
    </w:p>
    <w:p w14:paraId="688E3981" w14:textId="6C16AB32" w:rsidR="009A5A49" w:rsidRDefault="009A5A49" w:rsidP="000D4A0A">
      <w:pPr>
        <w:spacing w:line="240" w:lineRule="auto"/>
        <w:rPr>
          <w:rFonts w:cstheme="majorBidi"/>
          <w:szCs w:val="24"/>
        </w:rPr>
      </w:pPr>
      <w:r w:rsidRPr="009A5A49">
        <w:rPr>
          <w:rFonts w:cstheme="majorBidi"/>
          <w:szCs w:val="24"/>
        </w:rPr>
        <w:t>The author declares no competing financial interests.</w:t>
      </w:r>
    </w:p>
    <w:p w14:paraId="1DF29189" w14:textId="6EEEDA29" w:rsidR="00094C6A" w:rsidRDefault="00094C6A" w:rsidP="000D4A0A">
      <w:pPr>
        <w:pStyle w:val="Heading1"/>
        <w:spacing w:line="240" w:lineRule="auto"/>
      </w:pPr>
      <w:r>
        <w:t>Data Availability</w:t>
      </w:r>
    </w:p>
    <w:p w14:paraId="3CB28311" w14:textId="214FE3D2" w:rsidR="00094C6A" w:rsidRPr="009A5A49" w:rsidRDefault="00094C6A" w:rsidP="000D4A0A">
      <w:pPr>
        <w:spacing w:line="240" w:lineRule="auto"/>
        <w:rPr>
          <w:rFonts w:cstheme="majorBidi"/>
          <w:szCs w:val="24"/>
        </w:rPr>
      </w:pPr>
      <w:r w:rsidRPr="00094C6A">
        <w:rPr>
          <w:rFonts w:cstheme="majorBidi"/>
          <w:szCs w:val="24"/>
        </w:rPr>
        <w:t>The data</w:t>
      </w:r>
      <w:r w:rsidR="00EF17D7">
        <w:rPr>
          <w:rFonts w:cstheme="majorBidi"/>
          <w:szCs w:val="24"/>
        </w:rPr>
        <w:t xml:space="preserve"> associated with the 2024 </w:t>
      </w:r>
      <w:r w:rsidR="00A45A94">
        <w:rPr>
          <w:rFonts w:cstheme="majorBidi"/>
          <w:szCs w:val="24"/>
        </w:rPr>
        <w:t>Hurricane Helen Road</w:t>
      </w:r>
      <w:r w:rsidR="00EF17D7">
        <w:rPr>
          <w:rFonts w:cstheme="majorBidi"/>
          <w:szCs w:val="24"/>
        </w:rPr>
        <w:t xml:space="preserve"> closure</w:t>
      </w:r>
      <w:r w:rsidR="00206A4B">
        <w:rPr>
          <w:rFonts w:cstheme="majorBidi"/>
          <w:szCs w:val="24"/>
        </w:rPr>
        <w:t>, which support the findings of this study,</w:t>
      </w:r>
      <w:r w:rsidRPr="00094C6A">
        <w:rPr>
          <w:rFonts w:cstheme="majorBidi"/>
          <w:szCs w:val="24"/>
        </w:rPr>
        <w:t xml:space="preserve"> </w:t>
      </w:r>
      <w:r w:rsidR="00A45A94">
        <w:rPr>
          <w:rFonts w:cstheme="majorBidi"/>
          <w:szCs w:val="24"/>
        </w:rPr>
        <w:t xml:space="preserve">were obtained </w:t>
      </w:r>
      <w:r w:rsidR="00A45A94" w:rsidRPr="00A45A94">
        <w:rPr>
          <w:rFonts w:cstheme="majorBidi"/>
          <w:szCs w:val="24"/>
        </w:rPr>
        <w:t>from publicly available records on the NCDOT website shortly after the hurricane</w:t>
      </w:r>
      <w:r w:rsidR="00EF17D7">
        <w:rPr>
          <w:rFonts w:cstheme="majorBidi"/>
          <w:szCs w:val="24"/>
        </w:rPr>
        <w:t>.</w:t>
      </w:r>
    </w:p>
    <w:p w14:paraId="1897F6E4" w14:textId="475F760F" w:rsidR="002B506E" w:rsidRPr="007A6B36" w:rsidRDefault="00D129C9" w:rsidP="000D4A0A">
      <w:pPr>
        <w:pStyle w:val="Heading1"/>
        <w:spacing w:line="240" w:lineRule="auto"/>
        <w:rPr>
          <w:rFonts w:eastAsia="Times New Roman"/>
        </w:rPr>
      </w:pPr>
      <w:r w:rsidRPr="007A6B36">
        <w:rPr>
          <w:rFonts w:eastAsia="Times New Roman"/>
        </w:rPr>
        <w:t>References</w:t>
      </w:r>
    </w:p>
    <w:p w14:paraId="19320964" w14:textId="2C9DE810" w:rsidR="00C70391" w:rsidRPr="00C70391" w:rsidRDefault="00D129C9"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7A6B36">
        <w:rPr>
          <w:rFonts w:eastAsia="Times New Roman" w:cstheme="majorBidi"/>
          <w:szCs w:val="24"/>
        </w:rPr>
        <w:fldChar w:fldCharType="begin" w:fldLock="1"/>
      </w:r>
      <w:r w:rsidRPr="007A6B36">
        <w:rPr>
          <w:rFonts w:eastAsia="Times New Roman" w:cstheme="majorBidi"/>
          <w:szCs w:val="24"/>
        </w:rPr>
        <w:instrText xml:space="preserve">ADDIN Mendeley Bibliography CSL_BIBLIOGRAPHY </w:instrText>
      </w:r>
      <w:r w:rsidRPr="007A6B36">
        <w:rPr>
          <w:rFonts w:eastAsia="Times New Roman" w:cstheme="majorBidi"/>
          <w:szCs w:val="24"/>
        </w:rPr>
        <w:fldChar w:fldCharType="separate"/>
      </w:r>
      <w:r w:rsidR="00C70391" w:rsidRPr="00C70391">
        <w:rPr>
          <w:rFonts w:ascii="Times New Roman" w:hAnsi="Times New Roman" w:cs="Times New Roman"/>
          <w:noProof/>
          <w:szCs w:val="24"/>
        </w:rPr>
        <w:t>1.</w:t>
      </w:r>
      <w:r w:rsidR="00C70391" w:rsidRPr="00C70391">
        <w:rPr>
          <w:rFonts w:ascii="Times New Roman" w:hAnsi="Times New Roman" w:cs="Times New Roman"/>
          <w:noProof/>
          <w:szCs w:val="24"/>
        </w:rPr>
        <w:tab/>
        <w:t xml:space="preserve">Graham, F. Daily briefing: Arctic heat wave is’ unequivocal’evidence of climate change. </w:t>
      </w:r>
      <w:r w:rsidR="00C70391" w:rsidRPr="00C70391">
        <w:rPr>
          <w:rFonts w:ascii="Times New Roman" w:hAnsi="Times New Roman" w:cs="Times New Roman"/>
          <w:i/>
          <w:iCs/>
          <w:noProof/>
          <w:szCs w:val="24"/>
        </w:rPr>
        <w:t>Nature</w:t>
      </w:r>
      <w:r w:rsidR="00C70391" w:rsidRPr="00C70391">
        <w:rPr>
          <w:rFonts w:ascii="Times New Roman" w:hAnsi="Times New Roman" w:cs="Times New Roman"/>
          <w:noProof/>
          <w:szCs w:val="24"/>
        </w:rPr>
        <w:t xml:space="preserve"> (2020).</w:t>
      </w:r>
    </w:p>
    <w:p w14:paraId="2F9EF448"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2.</w:t>
      </w:r>
      <w:r w:rsidRPr="00C70391">
        <w:rPr>
          <w:rFonts w:ascii="Times New Roman" w:hAnsi="Times New Roman" w:cs="Times New Roman"/>
          <w:noProof/>
          <w:szCs w:val="24"/>
        </w:rPr>
        <w:tab/>
        <w:t xml:space="preserve">Costa, R., Bolte, E., Sharp, C. &amp; Bowers, C. Repeated and localized flooding is an underestimated challenge for urban disaster risk management. </w:t>
      </w:r>
      <w:r w:rsidRPr="00C70391">
        <w:rPr>
          <w:rFonts w:ascii="Times New Roman" w:hAnsi="Times New Roman" w:cs="Times New Roman"/>
          <w:i/>
          <w:iCs/>
          <w:noProof/>
          <w:szCs w:val="24"/>
        </w:rPr>
        <w:t>Nat. Cities</w:t>
      </w:r>
      <w:r w:rsidRPr="00C70391">
        <w:rPr>
          <w:rFonts w:ascii="Times New Roman" w:hAnsi="Times New Roman" w:cs="Times New Roman"/>
          <w:noProof/>
          <w:szCs w:val="24"/>
        </w:rPr>
        <w:t xml:space="preserve"> 1–10 (2024).</w:t>
      </w:r>
    </w:p>
    <w:p w14:paraId="000E356B"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3.</w:t>
      </w:r>
      <w:r w:rsidRPr="00C70391">
        <w:rPr>
          <w:rFonts w:ascii="Times New Roman" w:hAnsi="Times New Roman" w:cs="Times New Roman"/>
          <w:noProof/>
          <w:szCs w:val="24"/>
        </w:rPr>
        <w:tab/>
        <w:t xml:space="preserve">Tippett, M. K. &amp; Cohen, J. E. Tornado outbreak variability follows Taylor’s power law of fluctuation scaling and increases dramatically with severity. </w:t>
      </w:r>
      <w:r w:rsidRPr="00C70391">
        <w:rPr>
          <w:rFonts w:ascii="Times New Roman" w:hAnsi="Times New Roman" w:cs="Times New Roman"/>
          <w:i/>
          <w:iCs/>
          <w:noProof/>
          <w:szCs w:val="24"/>
        </w:rPr>
        <w:t>Nat. Commun.</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7</w:t>
      </w:r>
      <w:r w:rsidRPr="00C70391">
        <w:rPr>
          <w:rFonts w:ascii="Times New Roman" w:hAnsi="Times New Roman" w:cs="Times New Roman"/>
          <w:noProof/>
          <w:szCs w:val="24"/>
        </w:rPr>
        <w:t>, 10668 (2016).</w:t>
      </w:r>
    </w:p>
    <w:p w14:paraId="3C23F362"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4.</w:t>
      </w:r>
      <w:r w:rsidRPr="00C70391">
        <w:rPr>
          <w:rFonts w:ascii="Times New Roman" w:hAnsi="Times New Roman" w:cs="Times New Roman"/>
          <w:noProof/>
          <w:szCs w:val="24"/>
        </w:rPr>
        <w:tab/>
        <w:t xml:space="preserve">Adshead, D. </w:t>
      </w:r>
      <w:r w:rsidRPr="00C70391">
        <w:rPr>
          <w:rFonts w:ascii="Times New Roman" w:hAnsi="Times New Roman" w:cs="Times New Roman"/>
          <w:i/>
          <w:iCs/>
          <w:noProof/>
          <w:szCs w:val="24"/>
        </w:rPr>
        <w:t>et al.</w:t>
      </w:r>
      <w:r w:rsidRPr="00C70391">
        <w:rPr>
          <w:rFonts w:ascii="Times New Roman" w:hAnsi="Times New Roman" w:cs="Times New Roman"/>
          <w:noProof/>
          <w:szCs w:val="24"/>
        </w:rPr>
        <w:t xml:space="preserve"> Climate threats to coastal infrastructure and sustainable development outcomes. </w:t>
      </w:r>
      <w:r w:rsidRPr="00C70391">
        <w:rPr>
          <w:rFonts w:ascii="Times New Roman" w:hAnsi="Times New Roman" w:cs="Times New Roman"/>
          <w:i/>
          <w:iCs/>
          <w:noProof/>
          <w:szCs w:val="24"/>
        </w:rPr>
        <w:t>Nat. Clim. Chang.</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14</w:t>
      </w:r>
      <w:r w:rsidRPr="00C70391">
        <w:rPr>
          <w:rFonts w:ascii="Times New Roman" w:hAnsi="Times New Roman" w:cs="Times New Roman"/>
          <w:noProof/>
          <w:szCs w:val="24"/>
        </w:rPr>
        <w:t>, 344–352 (2024).</w:t>
      </w:r>
    </w:p>
    <w:p w14:paraId="4A3CC235"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5.</w:t>
      </w:r>
      <w:r w:rsidRPr="00C70391">
        <w:rPr>
          <w:rFonts w:ascii="Times New Roman" w:hAnsi="Times New Roman" w:cs="Times New Roman"/>
          <w:noProof/>
          <w:szCs w:val="24"/>
        </w:rPr>
        <w:tab/>
        <w:t xml:space="preserve">Melvin, A. M. </w:t>
      </w:r>
      <w:r w:rsidRPr="00C70391">
        <w:rPr>
          <w:rFonts w:ascii="Times New Roman" w:hAnsi="Times New Roman" w:cs="Times New Roman"/>
          <w:i/>
          <w:iCs/>
          <w:noProof/>
          <w:szCs w:val="24"/>
        </w:rPr>
        <w:t>et al.</w:t>
      </w:r>
      <w:r w:rsidRPr="00C70391">
        <w:rPr>
          <w:rFonts w:ascii="Times New Roman" w:hAnsi="Times New Roman" w:cs="Times New Roman"/>
          <w:noProof/>
          <w:szCs w:val="24"/>
        </w:rPr>
        <w:t xml:space="preserve"> Climate change damages to Alaska public infrastructure and the economics of proactive adaptation. </w:t>
      </w:r>
      <w:r w:rsidRPr="00C70391">
        <w:rPr>
          <w:rFonts w:ascii="Times New Roman" w:hAnsi="Times New Roman" w:cs="Times New Roman"/>
          <w:i/>
          <w:iCs/>
          <w:noProof/>
          <w:szCs w:val="24"/>
        </w:rPr>
        <w:t>Proc. Natl. Acad. Sci.</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114</w:t>
      </w:r>
      <w:r w:rsidRPr="00C70391">
        <w:rPr>
          <w:rFonts w:ascii="Times New Roman" w:hAnsi="Times New Roman" w:cs="Times New Roman"/>
          <w:noProof/>
          <w:szCs w:val="24"/>
        </w:rPr>
        <w:t>, E122–E131 (2017).</w:t>
      </w:r>
    </w:p>
    <w:p w14:paraId="17F336EF"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6.</w:t>
      </w:r>
      <w:r w:rsidRPr="00C70391">
        <w:rPr>
          <w:rFonts w:ascii="Times New Roman" w:hAnsi="Times New Roman" w:cs="Times New Roman"/>
          <w:noProof/>
          <w:szCs w:val="24"/>
        </w:rPr>
        <w:tab/>
        <w:t xml:space="preserve">Yang, P. </w:t>
      </w:r>
      <w:r w:rsidRPr="00C70391">
        <w:rPr>
          <w:rFonts w:ascii="Times New Roman" w:hAnsi="Times New Roman" w:cs="Times New Roman"/>
          <w:i/>
          <w:iCs/>
          <w:noProof/>
          <w:szCs w:val="24"/>
        </w:rPr>
        <w:t>et al.</w:t>
      </w:r>
      <w:r w:rsidRPr="00C70391">
        <w:rPr>
          <w:rFonts w:ascii="Times New Roman" w:hAnsi="Times New Roman" w:cs="Times New Roman"/>
          <w:noProof/>
          <w:szCs w:val="24"/>
        </w:rPr>
        <w:t xml:space="preserve"> Impacts of climate change-related flood events in the Yangtze River Basin based on multi-source data. </w:t>
      </w:r>
      <w:r w:rsidRPr="00C70391">
        <w:rPr>
          <w:rFonts w:ascii="Times New Roman" w:hAnsi="Times New Roman" w:cs="Times New Roman"/>
          <w:i/>
          <w:iCs/>
          <w:noProof/>
          <w:szCs w:val="24"/>
        </w:rPr>
        <w:t>Atmos. Res.</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263</w:t>
      </w:r>
      <w:r w:rsidRPr="00C70391">
        <w:rPr>
          <w:rFonts w:ascii="Times New Roman" w:hAnsi="Times New Roman" w:cs="Times New Roman"/>
          <w:noProof/>
          <w:szCs w:val="24"/>
        </w:rPr>
        <w:t>, 105819 (2021).</w:t>
      </w:r>
    </w:p>
    <w:p w14:paraId="688F33D5"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7.</w:t>
      </w:r>
      <w:r w:rsidRPr="00C70391">
        <w:rPr>
          <w:rFonts w:ascii="Times New Roman" w:hAnsi="Times New Roman" w:cs="Times New Roman"/>
          <w:noProof/>
          <w:szCs w:val="24"/>
        </w:rPr>
        <w:tab/>
        <w:t xml:space="preserve">Lewis, J. W., Lytle, S. E. &amp; Tavakoly, A. A. Climate change projections of continental-scale streamflow across the Mississippi River Basin. </w:t>
      </w:r>
      <w:r w:rsidRPr="00C70391">
        <w:rPr>
          <w:rFonts w:ascii="Times New Roman" w:hAnsi="Times New Roman" w:cs="Times New Roman"/>
          <w:i/>
          <w:iCs/>
          <w:noProof/>
          <w:szCs w:val="24"/>
        </w:rPr>
        <w:t>Theor. Appl. Climatol.</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151</w:t>
      </w:r>
      <w:r w:rsidRPr="00C70391">
        <w:rPr>
          <w:rFonts w:ascii="Times New Roman" w:hAnsi="Times New Roman" w:cs="Times New Roman"/>
          <w:noProof/>
          <w:szCs w:val="24"/>
        </w:rPr>
        <w:t>, 1013–1034 (2023).</w:t>
      </w:r>
    </w:p>
    <w:p w14:paraId="58C45762"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8.</w:t>
      </w:r>
      <w:r w:rsidRPr="00C70391">
        <w:rPr>
          <w:rFonts w:ascii="Times New Roman" w:hAnsi="Times New Roman" w:cs="Times New Roman"/>
          <w:noProof/>
          <w:szCs w:val="24"/>
        </w:rPr>
        <w:tab/>
        <w:t xml:space="preserve">Neumann, J. E. </w:t>
      </w:r>
      <w:r w:rsidRPr="00C70391">
        <w:rPr>
          <w:rFonts w:ascii="Times New Roman" w:hAnsi="Times New Roman" w:cs="Times New Roman"/>
          <w:i/>
          <w:iCs/>
          <w:noProof/>
          <w:szCs w:val="24"/>
        </w:rPr>
        <w:t>et al.</w:t>
      </w:r>
      <w:r w:rsidRPr="00C70391">
        <w:rPr>
          <w:rFonts w:ascii="Times New Roman" w:hAnsi="Times New Roman" w:cs="Times New Roman"/>
          <w:noProof/>
          <w:szCs w:val="24"/>
        </w:rPr>
        <w:t xml:space="preserve"> Climate effects on US infrastructure: the economics of adaptation for rail, roads, and coastal development. </w:t>
      </w:r>
      <w:r w:rsidRPr="00C70391">
        <w:rPr>
          <w:rFonts w:ascii="Times New Roman" w:hAnsi="Times New Roman" w:cs="Times New Roman"/>
          <w:i/>
          <w:iCs/>
          <w:noProof/>
          <w:szCs w:val="24"/>
        </w:rPr>
        <w:t>Clim. Change</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167</w:t>
      </w:r>
      <w:r w:rsidRPr="00C70391">
        <w:rPr>
          <w:rFonts w:ascii="Times New Roman" w:hAnsi="Times New Roman" w:cs="Times New Roman"/>
          <w:noProof/>
          <w:szCs w:val="24"/>
        </w:rPr>
        <w:t>, 44 (2021).</w:t>
      </w:r>
    </w:p>
    <w:p w14:paraId="7F591EBE"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9.</w:t>
      </w:r>
      <w:r w:rsidRPr="00C70391">
        <w:rPr>
          <w:rFonts w:ascii="Times New Roman" w:hAnsi="Times New Roman" w:cs="Times New Roman"/>
          <w:noProof/>
          <w:szCs w:val="24"/>
        </w:rPr>
        <w:tab/>
        <w:t xml:space="preserve">Underwood, B. S., Guido, Z., Gudipudi, P. &amp; Feinberg, Y. Increased costs to US pavement infrastructure from future temperature rise. </w:t>
      </w:r>
      <w:r w:rsidRPr="00C70391">
        <w:rPr>
          <w:rFonts w:ascii="Times New Roman" w:hAnsi="Times New Roman" w:cs="Times New Roman"/>
          <w:i/>
          <w:iCs/>
          <w:noProof/>
          <w:szCs w:val="24"/>
        </w:rPr>
        <w:t>Nat. Clim. Chang.</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7</w:t>
      </w:r>
      <w:r w:rsidRPr="00C70391">
        <w:rPr>
          <w:rFonts w:ascii="Times New Roman" w:hAnsi="Times New Roman" w:cs="Times New Roman"/>
          <w:noProof/>
          <w:szCs w:val="24"/>
        </w:rPr>
        <w:t>, 704–707 (2017).</w:t>
      </w:r>
    </w:p>
    <w:p w14:paraId="18FD5E8E"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10.</w:t>
      </w:r>
      <w:r w:rsidRPr="00C70391">
        <w:rPr>
          <w:rFonts w:ascii="Times New Roman" w:hAnsi="Times New Roman" w:cs="Times New Roman"/>
          <w:noProof/>
          <w:szCs w:val="24"/>
        </w:rPr>
        <w:tab/>
        <w:t xml:space="preserve">Williams, S. J. Sea-level rise implications for coastal regions. </w:t>
      </w:r>
      <w:r w:rsidRPr="00C70391">
        <w:rPr>
          <w:rFonts w:ascii="Times New Roman" w:hAnsi="Times New Roman" w:cs="Times New Roman"/>
          <w:i/>
          <w:iCs/>
          <w:noProof/>
          <w:szCs w:val="24"/>
        </w:rPr>
        <w:t>J. Coast. Res.</w:t>
      </w:r>
      <w:r w:rsidRPr="00C70391">
        <w:rPr>
          <w:rFonts w:ascii="Times New Roman" w:hAnsi="Times New Roman" w:cs="Times New Roman"/>
          <w:noProof/>
          <w:szCs w:val="24"/>
        </w:rPr>
        <w:t xml:space="preserve"> 184–196 (2013).</w:t>
      </w:r>
    </w:p>
    <w:p w14:paraId="4B21270E"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11.</w:t>
      </w:r>
      <w:r w:rsidRPr="00C70391">
        <w:rPr>
          <w:rFonts w:ascii="Times New Roman" w:hAnsi="Times New Roman" w:cs="Times New Roman"/>
          <w:noProof/>
          <w:szCs w:val="24"/>
        </w:rPr>
        <w:tab/>
        <w:t xml:space="preserve">Schuerch, M. </w:t>
      </w:r>
      <w:r w:rsidRPr="00C70391">
        <w:rPr>
          <w:rFonts w:ascii="Times New Roman" w:hAnsi="Times New Roman" w:cs="Times New Roman"/>
          <w:i/>
          <w:iCs/>
          <w:noProof/>
          <w:szCs w:val="24"/>
        </w:rPr>
        <w:t>et al.</w:t>
      </w:r>
      <w:r w:rsidRPr="00C70391">
        <w:rPr>
          <w:rFonts w:ascii="Times New Roman" w:hAnsi="Times New Roman" w:cs="Times New Roman"/>
          <w:noProof/>
          <w:szCs w:val="24"/>
        </w:rPr>
        <w:t xml:space="preserve"> Future response of global coastal wetlands to sea-level rise. </w:t>
      </w:r>
      <w:r w:rsidRPr="00C70391">
        <w:rPr>
          <w:rFonts w:ascii="Times New Roman" w:hAnsi="Times New Roman" w:cs="Times New Roman"/>
          <w:i/>
          <w:iCs/>
          <w:noProof/>
          <w:szCs w:val="24"/>
        </w:rPr>
        <w:t>Nature</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561</w:t>
      </w:r>
      <w:r w:rsidRPr="00C70391">
        <w:rPr>
          <w:rFonts w:ascii="Times New Roman" w:hAnsi="Times New Roman" w:cs="Times New Roman"/>
          <w:noProof/>
          <w:szCs w:val="24"/>
        </w:rPr>
        <w:t>, 231–234 (2018).</w:t>
      </w:r>
    </w:p>
    <w:p w14:paraId="51E42A23"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lastRenderedPageBreak/>
        <w:t>12.</w:t>
      </w:r>
      <w:r w:rsidRPr="00C70391">
        <w:rPr>
          <w:rFonts w:ascii="Times New Roman" w:hAnsi="Times New Roman" w:cs="Times New Roman"/>
          <w:noProof/>
          <w:szCs w:val="24"/>
        </w:rPr>
        <w:tab/>
        <w:t xml:space="preserve">Voskaki, A., Budd, T. &amp; Mason, K. The impact of climate hazards to airport systems: a synthesis of the implications and risk mitigation trends. </w:t>
      </w:r>
      <w:r w:rsidRPr="00C70391">
        <w:rPr>
          <w:rFonts w:ascii="Times New Roman" w:hAnsi="Times New Roman" w:cs="Times New Roman"/>
          <w:i/>
          <w:iCs/>
          <w:noProof/>
          <w:szCs w:val="24"/>
        </w:rPr>
        <w:t>Transp. Rev.</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43</w:t>
      </w:r>
      <w:r w:rsidRPr="00C70391">
        <w:rPr>
          <w:rFonts w:ascii="Times New Roman" w:hAnsi="Times New Roman" w:cs="Times New Roman"/>
          <w:noProof/>
          <w:szCs w:val="24"/>
        </w:rPr>
        <w:t>, 652–675 (2023).</w:t>
      </w:r>
    </w:p>
    <w:p w14:paraId="393169B1"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13.</w:t>
      </w:r>
      <w:r w:rsidRPr="00C70391">
        <w:rPr>
          <w:rFonts w:ascii="Times New Roman" w:hAnsi="Times New Roman" w:cs="Times New Roman"/>
          <w:noProof/>
          <w:szCs w:val="24"/>
        </w:rPr>
        <w:tab/>
        <w:t xml:space="preserve">Reidmiller, D. R. </w:t>
      </w:r>
      <w:r w:rsidRPr="00C70391">
        <w:rPr>
          <w:rFonts w:ascii="Times New Roman" w:hAnsi="Times New Roman" w:cs="Times New Roman"/>
          <w:i/>
          <w:iCs/>
          <w:noProof/>
          <w:szCs w:val="24"/>
        </w:rPr>
        <w:t>et al.</w:t>
      </w:r>
      <w:r w:rsidRPr="00C70391">
        <w:rPr>
          <w:rFonts w:ascii="Times New Roman" w:hAnsi="Times New Roman" w:cs="Times New Roman"/>
          <w:noProof/>
          <w:szCs w:val="24"/>
        </w:rPr>
        <w:t xml:space="preserve"> Impacts, risks, and adaptation in the United States: Fourth national climate assessment, volume II. (2017).</w:t>
      </w:r>
    </w:p>
    <w:p w14:paraId="37B07123"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14.</w:t>
      </w:r>
      <w:r w:rsidRPr="00C70391">
        <w:rPr>
          <w:rFonts w:ascii="Times New Roman" w:hAnsi="Times New Roman" w:cs="Times New Roman"/>
          <w:noProof/>
          <w:szCs w:val="24"/>
        </w:rPr>
        <w:tab/>
        <w:t xml:space="preserve">Piemontese, L. </w:t>
      </w:r>
      <w:r w:rsidRPr="00C70391">
        <w:rPr>
          <w:rFonts w:ascii="Times New Roman" w:hAnsi="Times New Roman" w:cs="Times New Roman"/>
          <w:i/>
          <w:iCs/>
          <w:noProof/>
          <w:szCs w:val="24"/>
        </w:rPr>
        <w:t>et al.</w:t>
      </w:r>
      <w:r w:rsidRPr="00C70391">
        <w:rPr>
          <w:rFonts w:ascii="Times New Roman" w:hAnsi="Times New Roman" w:cs="Times New Roman"/>
          <w:noProof/>
          <w:szCs w:val="24"/>
        </w:rPr>
        <w:t xml:space="preserve"> Over-reliance on water infrastructure can hinder climate resilience in pastoral drylands. </w:t>
      </w:r>
      <w:r w:rsidRPr="00C70391">
        <w:rPr>
          <w:rFonts w:ascii="Times New Roman" w:hAnsi="Times New Roman" w:cs="Times New Roman"/>
          <w:i/>
          <w:iCs/>
          <w:noProof/>
          <w:szCs w:val="24"/>
        </w:rPr>
        <w:t>Nat. Clim. Chang.</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14</w:t>
      </w:r>
      <w:r w:rsidRPr="00C70391">
        <w:rPr>
          <w:rFonts w:ascii="Times New Roman" w:hAnsi="Times New Roman" w:cs="Times New Roman"/>
          <w:noProof/>
          <w:szCs w:val="24"/>
        </w:rPr>
        <w:t>, 267–274 (2024).</w:t>
      </w:r>
    </w:p>
    <w:p w14:paraId="06F10A49"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15.</w:t>
      </w:r>
      <w:r w:rsidRPr="00C70391">
        <w:rPr>
          <w:rFonts w:ascii="Times New Roman" w:hAnsi="Times New Roman" w:cs="Times New Roman"/>
          <w:noProof/>
          <w:szCs w:val="24"/>
        </w:rPr>
        <w:tab/>
        <w:t xml:space="preserve">Mills, B. &amp; Andrey, J. Climate change and transportation: potential interactions and impacts. in </w:t>
      </w:r>
      <w:r w:rsidRPr="00C70391">
        <w:rPr>
          <w:rFonts w:ascii="Times New Roman" w:hAnsi="Times New Roman" w:cs="Times New Roman"/>
          <w:i/>
          <w:iCs/>
          <w:noProof/>
          <w:szCs w:val="24"/>
        </w:rPr>
        <w:t>The potential impacts of climate change on transportation</w:t>
      </w:r>
      <w:r w:rsidRPr="00C70391">
        <w:rPr>
          <w:rFonts w:ascii="Times New Roman" w:hAnsi="Times New Roman" w:cs="Times New Roman"/>
          <w:noProof/>
          <w:szCs w:val="24"/>
        </w:rPr>
        <w:t xml:space="preserve"> vol. 77 (United States Environmental Protection Agency Washington, DC, USA, 2002).</w:t>
      </w:r>
    </w:p>
    <w:p w14:paraId="68243955"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16.</w:t>
      </w:r>
      <w:r w:rsidRPr="00C70391">
        <w:rPr>
          <w:rFonts w:ascii="Times New Roman" w:hAnsi="Times New Roman" w:cs="Times New Roman"/>
          <w:noProof/>
          <w:szCs w:val="24"/>
        </w:rPr>
        <w:tab/>
        <w:t xml:space="preserve">Gaines, J. M. Flooding: water potential. </w:t>
      </w:r>
      <w:r w:rsidRPr="00C70391">
        <w:rPr>
          <w:rFonts w:ascii="Times New Roman" w:hAnsi="Times New Roman" w:cs="Times New Roman"/>
          <w:i/>
          <w:iCs/>
          <w:noProof/>
          <w:szCs w:val="24"/>
        </w:rPr>
        <w:t>Nature</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531</w:t>
      </w:r>
      <w:r w:rsidRPr="00C70391">
        <w:rPr>
          <w:rFonts w:ascii="Times New Roman" w:hAnsi="Times New Roman" w:cs="Times New Roman"/>
          <w:noProof/>
          <w:szCs w:val="24"/>
        </w:rPr>
        <w:t>, S54–S55 (2016).</w:t>
      </w:r>
    </w:p>
    <w:p w14:paraId="50B84F2A"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17.</w:t>
      </w:r>
      <w:r w:rsidRPr="00C70391">
        <w:rPr>
          <w:rFonts w:ascii="Times New Roman" w:hAnsi="Times New Roman" w:cs="Times New Roman"/>
          <w:noProof/>
          <w:szCs w:val="24"/>
        </w:rPr>
        <w:tab/>
        <w:t xml:space="preserve">Inkoom, S., Sobanjo, J. O., Chicken, E., Sinha, D. &amp; Niu, X. Assessment of deterioration of highway pavement using Bayesian survival model. </w:t>
      </w:r>
      <w:r w:rsidRPr="00C70391">
        <w:rPr>
          <w:rFonts w:ascii="Times New Roman" w:hAnsi="Times New Roman" w:cs="Times New Roman"/>
          <w:i/>
          <w:iCs/>
          <w:noProof/>
          <w:szCs w:val="24"/>
        </w:rPr>
        <w:t>Transp. Res. Rec.</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2674</w:t>
      </w:r>
      <w:r w:rsidRPr="00C70391">
        <w:rPr>
          <w:rFonts w:ascii="Times New Roman" w:hAnsi="Times New Roman" w:cs="Times New Roman"/>
          <w:noProof/>
          <w:szCs w:val="24"/>
        </w:rPr>
        <w:t>, 310–325 (2020).</w:t>
      </w:r>
    </w:p>
    <w:p w14:paraId="49C1DD91"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18.</w:t>
      </w:r>
      <w:r w:rsidRPr="00C70391">
        <w:rPr>
          <w:rFonts w:ascii="Times New Roman" w:hAnsi="Times New Roman" w:cs="Times New Roman"/>
          <w:noProof/>
          <w:szCs w:val="24"/>
        </w:rPr>
        <w:tab/>
        <w:t xml:space="preserve">Chen, X. &amp; Wang, H. Enhancement of roadway pavement resilience to flooding: impact assessment and mitigation strategies. </w:t>
      </w:r>
      <w:r w:rsidRPr="00C70391">
        <w:rPr>
          <w:rFonts w:ascii="Times New Roman" w:hAnsi="Times New Roman" w:cs="Times New Roman"/>
          <w:i/>
          <w:iCs/>
          <w:noProof/>
          <w:szCs w:val="24"/>
        </w:rPr>
        <w:t>Transp. Res. Part D Transp. Environ.</w:t>
      </w:r>
      <w:r w:rsidRPr="00C70391">
        <w:rPr>
          <w:rFonts w:ascii="Times New Roman" w:hAnsi="Times New Roman" w:cs="Times New Roman"/>
          <w:noProof/>
          <w:szCs w:val="24"/>
        </w:rPr>
        <w:t xml:space="preserve"> 104946 (2025).</w:t>
      </w:r>
    </w:p>
    <w:p w14:paraId="2D5DDF51"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19.</w:t>
      </w:r>
      <w:r w:rsidRPr="00C70391">
        <w:rPr>
          <w:rFonts w:ascii="Times New Roman" w:hAnsi="Times New Roman" w:cs="Times New Roman"/>
          <w:noProof/>
          <w:szCs w:val="24"/>
        </w:rPr>
        <w:tab/>
        <w:t xml:space="preserve">Inkoom, S. &amp; Sobanjo, J. O. Competing risks models for the deterioration of highway pavement subject to hurricane events. </w:t>
      </w:r>
      <w:r w:rsidRPr="00C70391">
        <w:rPr>
          <w:rFonts w:ascii="Times New Roman" w:hAnsi="Times New Roman" w:cs="Times New Roman"/>
          <w:i/>
          <w:iCs/>
          <w:noProof/>
          <w:szCs w:val="24"/>
        </w:rPr>
        <w:t>Struct. Infrastruct. Eng.</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15</w:t>
      </w:r>
      <w:r w:rsidRPr="00C70391">
        <w:rPr>
          <w:rFonts w:ascii="Times New Roman" w:hAnsi="Times New Roman" w:cs="Times New Roman"/>
          <w:noProof/>
          <w:szCs w:val="24"/>
        </w:rPr>
        <w:t>, 837–850 (2019).</w:t>
      </w:r>
    </w:p>
    <w:p w14:paraId="054CDF86"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20.</w:t>
      </w:r>
      <w:r w:rsidRPr="00C70391">
        <w:rPr>
          <w:rFonts w:ascii="Times New Roman" w:hAnsi="Times New Roman" w:cs="Times New Roman"/>
          <w:noProof/>
          <w:szCs w:val="24"/>
        </w:rPr>
        <w:tab/>
        <w:t xml:space="preserve">Chen, X. &amp; Zhang, Z. Effects of Hurricanes Katrina and Rita flooding on Louisiana pavement performance. in </w:t>
      </w:r>
      <w:r w:rsidRPr="00C70391">
        <w:rPr>
          <w:rFonts w:ascii="Times New Roman" w:hAnsi="Times New Roman" w:cs="Times New Roman"/>
          <w:i/>
          <w:iCs/>
          <w:noProof/>
          <w:szCs w:val="24"/>
        </w:rPr>
        <w:t>Pavement materials, structures, and performance</w:t>
      </w:r>
      <w:r w:rsidRPr="00C70391">
        <w:rPr>
          <w:rFonts w:ascii="Times New Roman" w:hAnsi="Times New Roman" w:cs="Times New Roman"/>
          <w:noProof/>
          <w:szCs w:val="24"/>
        </w:rPr>
        <w:t xml:space="preserve"> 212–221 (2014).</w:t>
      </w:r>
    </w:p>
    <w:p w14:paraId="7127DAE3"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21.</w:t>
      </w:r>
      <w:r w:rsidRPr="00C70391">
        <w:rPr>
          <w:rFonts w:ascii="Times New Roman" w:hAnsi="Times New Roman" w:cs="Times New Roman"/>
          <w:noProof/>
          <w:szCs w:val="24"/>
        </w:rPr>
        <w:tab/>
        <w:t xml:space="preserve">Zhang, Z., Wu, Z., Martinez, M. &amp; Gaspard, K. Pavement structures damage caused by Hurricane Katrina flooding. </w:t>
      </w:r>
      <w:r w:rsidRPr="00C70391">
        <w:rPr>
          <w:rFonts w:ascii="Times New Roman" w:hAnsi="Times New Roman" w:cs="Times New Roman"/>
          <w:i/>
          <w:iCs/>
          <w:noProof/>
          <w:szCs w:val="24"/>
        </w:rPr>
        <w:t>J. Geotech. geoenvironmental Eng.</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134</w:t>
      </w:r>
      <w:r w:rsidRPr="00C70391">
        <w:rPr>
          <w:rFonts w:ascii="Times New Roman" w:hAnsi="Times New Roman" w:cs="Times New Roman"/>
          <w:noProof/>
          <w:szCs w:val="24"/>
        </w:rPr>
        <w:t>, 633–643 (2008).</w:t>
      </w:r>
    </w:p>
    <w:p w14:paraId="2105340C"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22.</w:t>
      </w:r>
      <w:r w:rsidRPr="00C70391">
        <w:rPr>
          <w:rFonts w:ascii="Times New Roman" w:hAnsi="Times New Roman" w:cs="Times New Roman"/>
          <w:noProof/>
          <w:szCs w:val="24"/>
        </w:rPr>
        <w:tab/>
        <w:t xml:space="preserve">Helali, K., Robson, M., Nicholson, R. &amp; Bekheet, W. Importance of a pavement management system in assessing pavement damage from natural disasters: a case study to assess the damage from Hurricanes Katrina and Rita in Jefferson Parish, Louisiana. in </w:t>
      </w:r>
      <w:r w:rsidRPr="00C70391">
        <w:rPr>
          <w:rFonts w:ascii="Times New Roman" w:hAnsi="Times New Roman" w:cs="Times New Roman"/>
          <w:i/>
          <w:iCs/>
          <w:noProof/>
          <w:szCs w:val="24"/>
        </w:rPr>
        <w:t>7th International Conference on Managing Pavement Assets</w:t>
      </w:r>
      <w:r w:rsidRPr="00C70391">
        <w:rPr>
          <w:rFonts w:ascii="Times New Roman" w:hAnsi="Times New Roman" w:cs="Times New Roman"/>
          <w:noProof/>
          <w:szCs w:val="24"/>
        </w:rPr>
        <w:t xml:space="preserve"> (Citeseer, 2008).</w:t>
      </w:r>
    </w:p>
    <w:p w14:paraId="5FAA7451"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23.</w:t>
      </w:r>
      <w:r w:rsidRPr="00C70391">
        <w:rPr>
          <w:rFonts w:ascii="Times New Roman" w:hAnsi="Times New Roman" w:cs="Times New Roman"/>
          <w:noProof/>
          <w:szCs w:val="24"/>
        </w:rPr>
        <w:tab/>
        <w:t xml:space="preserve">Indicators, P. &amp; Alipour, A. Asset Management, Extreme Weather, and Proxy Indicators. </w:t>
      </w:r>
      <w:r w:rsidRPr="00C70391">
        <w:rPr>
          <w:rFonts w:ascii="Times New Roman" w:hAnsi="Times New Roman" w:cs="Times New Roman"/>
          <w:i/>
          <w:iCs/>
          <w:noProof/>
          <w:szCs w:val="24"/>
        </w:rPr>
        <w:t>Bridg.</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515</w:t>
      </w:r>
      <w:r w:rsidRPr="00C70391">
        <w:rPr>
          <w:rFonts w:ascii="Times New Roman" w:hAnsi="Times New Roman" w:cs="Times New Roman"/>
          <w:noProof/>
          <w:szCs w:val="24"/>
        </w:rPr>
        <w:t>, 294–8103 (2021).</w:t>
      </w:r>
    </w:p>
    <w:p w14:paraId="293D3DF7"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24.</w:t>
      </w:r>
      <w:r w:rsidRPr="00C70391">
        <w:rPr>
          <w:rFonts w:ascii="Times New Roman" w:hAnsi="Times New Roman" w:cs="Times New Roman"/>
          <w:noProof/>
          <w:szCs w:val="24"/>
        </w:rPr>
        <w:tab/>
        <w:t xml:space="preserve">Yuan, X., Ye, F., Fu, W. &amp; Wen, L. Estimating the critical shear stress for incipient particle motion of a cohesive soil slope. </w:t>
      </w:r>
      <w:r w:rsidRPr="00C70391">
        <w:rPr>
          <w:rFonts w:ascii="Times New Roman" w:hAnsi="Times New Roman" w:cs="Times New Roman"/>
          <w:i/>
          <w:iCs/>
          <w:noProof/>
          <w:szCs w:val="24"/>
        </w:rPr>
        <w:t>Sci. Rep.</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12</w:t>
      </w:r>
      <w:r w:rsidRPr="00C70391">
        <w:rPr>
          <w:rFonts w:ascii="Times New Roman" w:hAnsi="Times New Roman" w:cs="Times New Roman"/>
          <w:noProof/>
          <w:szCs w:val="24"/>
        </w:rPr>
        <w:t>, 9736 (2022).</w:t>
      </w:r>
    </w:p>
    <w:p w14:paraId="2D7EEDD8"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25.</w:t>
      </w:r>
      <w:r w:rsidRPr="00C70391">
        <w:rPr>
          <w:rFonts w:ascii="Times New Roman" w:hAnsi="Times New Roman" w:cs="Times New Roman"/>
          <w:noProof/>
          <w:szCs w:val="24"/>
        </w:rPr>
        <w:tab/>
        <w:t xml:space="preserve">Julien, P. Y. </w:t>
      </w:r>
      <w:r w:rsidRPr="00C70391">
        <w:rPr>
          <w:rFonts w:ascii="Times New Roman" w:hAnsi="Times New Roman" w:cs="Times New Roman"/>
          <w:i/>
          <w:iCs/>
          <w:noProof/>
          <w:szCs w:val="24"/>
        </w:rPr>
        <w:t>Erosion and sedimentation</w:t>
      </w:r>
      <w:r w:rsidRPr="00C70391">
        <w:rPr>
          <w:rFonts w:ascii="Times New Roman" w:hAnsi="Times New Roman" w:cs="Times New Roman"/>
          <w:noProof/>
          <w:szCs w:val="24"/>
        </w:rPr>
        <w:t>. (Cambridge university press, 2010).</w:t>
      </w:r>
    </w:p>
    <w:p w14:paraId="79774B63"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26.</w:t>
      </w:r>
      <w:r w:rsidRPr="00C70391">
        <w:rPr>
          <w:rFonts w:ascii="Times New Roman" w:hAnsi="Times New Roman" w:cs="Times New Roman"/>
          <w:noProof/>
          <w:szCs w:val="24"/>
        </w:rPr>
        <w:tab/>
        <w:t xml:space="preserve">Knapen, A., Poesen, J. &amp; De Baets, S. Seasonal variations in soil erosion resistance during concentrated flow for a loess-derived soil under two contrasting tillage practices. </w:t>
      </w:r>
      <w:r w:rsidRPr="00C70391">
        <w:rPr>
          <w:rFonts w:ascii="Times New Roman" w:hAnsi="Times New Roman" w:cs="Times New Roman"/>
          <w:i/>
          <w:iCs/>
          <w:noProof/>
          <w:szCs w:val="24"/>
        </w:rPr>
        <w:t>Soil Tillage Res.</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94</w:t>
      </w:r>
      <w:r w:rsidRPr="00C70391">
        <w:rPr>
          <w:rFonts w:ascii="Times New Roman" w:hAnsi="Times New Roman" w:cs="Times New Roman"/>
          <w:noProof/>
          <w:szCs w:val="24"/>
        </w:rPr>
        <w:t>, 425–440 (2007).</w:t>
      </w:r>
    </w:p>
    <w:p w14:paraId="7093FF96"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27.</w:t>
      </w:r>
      <w:r w:rsidRPr="00C70391">
        <w:rPr>
          <w:rFonts w:ascii="Times New Roman" w:hAnsi="Times New Roman" w:cs="Times New Roman"/>
          <w:noProof/>
          <w:szCs w:val="24"/>
        </w:rPr>
        <w:tab/>
        <w:t xml:space="preserve">Madrazo-Uribeetxebarria, E., Antín, M. G., Eguilegor, G. A. &amp; Andrés-Doménech, I. Analysis of the hydraulic performance of permeable pavements on a layer-by-layer basis. </w:t>
      </w:r>
      <w:r w:rsidRPr="00C70391">
        <w:rPr>
          <w:rFonts w:ascii="Times New Roman" w:hAnsi="Times New Roman" w:cs="Times New Roman"/>
          <w:i/>
          <w:iCs/>
          <w:noProof/>
          <w:szCs w:val="24"/>
        </w:rPr>
        <w:t>Constr. Build. Mater.</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387</w:t>
      </w:r>
      <w:r w:rsidRPr="00C70391">
        <w:rPr>
          <w:rFonts w:ascii="Times New Roman" w:hAnsi="Times New Roman" w:cs="Times New Roman"/>
          <w:noProof/>
          <w:szCs w:val="24"/>
        </w:rPr>
        <w:t>, 131587 (2023).</w:t>
      </w:r>
    </w:p>
    <w:p w14:paraId="78C1099C"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28.</w:t>
      </w:r>
      <w:r w:rsidRPr="00C70391">
        <w:rPr>
          <w:rFonts w:ascii="Times New Roman" w:hAnsi="Times New Roman" w:cs="Times New Roman"/>
          <w:noProof/>
          <w:szCs w:val="24"/>
        </w:rPr>
        <w:tab/>
        <w:t xml:space="preserve">Delgadillo, R., Arteaga, L., Wahr, C. &amp; Alcafuz, R. The influence of climate change in Superpave binder selection for Chile. </w:t>
      </w:r>
      <w:r w:rsidRPr="00C70391">
        <w:rPr>
          <w:rFonts w:ascii="Times New Roman" w:hAnsi="Times New Roman" w:cs="Times New Roman"/>
          <w:i/>
          <w:iCs/>
          <w:noProof/>
          <w:szCs w:val="24"/>
        </w:rPr>
        <w:t>Road Mater. Pavement Des.</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21</w:t>
      </w:r>
      <w:r w:rsidRPr="00C70391">
        <w:rPr>
          <w:rFonts w:ascii="Times New Roman" w:hAnsi="Times New Roman" w:cs="Times New Roman"/>
          <w:noProof/>
          <w:szCs w:val="24"/>
        </w:rPr>
        <w:t>, 607–622 (2020).</w:t>
      </w:r>
    </w:p>
    <w:p w14:paraId="209AAA13"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lastRenderedPageBreak/>
        <w:t>29.</w:t>
      </w:r>
      <w:r w:rsidRPr="00C70391">
        <w:rPr>
          <w:rFonts w:ascii="Times New Roman" w:hAnsi="Times New Roman" w:cs="Times New Roman"/>
          <w:noProof/>
          <w:szCs w:val="24"/>
        </w:rPr>
        <w:tab/>
        <w:t xml:space="preserve">Gulzar, S., Goenaga, B. &amp; Shane Underwood, B. Novel Index for Vulnerability Assessment of Flexible Pavement Infrastructure to Temperature Rise: Case Study of Developing Countries. </w:t>
      </w:r>
      <w:r w:rsidRPr="00C70391">
        <w:rPr>
          <w:rFonts w:ascii="Times New Roman" w:hAnsi="Times New Roman" w:cs="Times New Roman"/>
          <w:i/>
          <w:iCs/>
          <w:noProof/>
          <w:szCs w:val="24"/>
        </w:rPr>
        <w:t>J. Infrastruct. Syst.</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28</w:t>
      </w:r>
      <w:r w:rsidRPr="00C70391">
        <w:rPr>
          <w:rFonts w:ascii="Times New Roman" w:hAnsi="Times New Roman" w:cs="Times New Roman"/>
          <w:noProof/>
          <w:szCs w:val="24"/>
        </w:rPr>
        <w:t>, 4021055 (2022).</w:t>
      </w:r>
    </w:p>
    <w:p w14:paraId="687B4CE1"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30.</w:t>
      </w:r>
      <w:r w:rsidRPr="00C70391">
        <w:rPr>
          <w:rFonts w:ascii="Times New Roman" w:hAnsi="Times New Roman" w:cs="Times New Roman"/>
          <w:noProof/>
          <w:szCs w:val="24"/>
        </w:rPr>
        <w:tab/>
        <w:t xml:space="preserve">Swarna, S. T., Hossain, K., Mehta, Y. A. &amp; Bernier, A. Climate change adaptation strategies for Canadian asphalt pavements; Part 1: Adaptation strategies. </w:t>
      </w:r>
      <w:r w:rsidRPr="00C70391">
        <w:rPr>
          <w:rFonts w:ascii="Times New Roman" w:hAnsi="Times New Roman" w:cs="Times New Roman"/>
          <w:i/>
          <w:iCs/>
          <w:noProof/>
          <w:szCs w:val="24"/>
        </w:rPr>
        <w:t>J. Clean. Prod.</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363</w:t>
      </w:r>
      <w:r w:rsidRPr="00C70391">
        <w:rPr>
          <w:rFonts w:ascii="Times New Roman" w:hAnsi="Times New Roman" w:cs="Times New Roman"/>
          <w:noProof/>
          <w:szCs w:val="24"/>
        </w:rPr>
        <w:t>, 132313 (2022).</w:t>
      </w:r>
    </w:p>
    <w:p w14:paraId="5D41337F"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31.</w:t>
      </w:r>
      <w:r w:rsidRPr="00C70391">
        <w:rPr>
          <w:rFonts w:ascii="Times New Roman" w:hAnsi="Times New Roman" w:cs="Times New Roman"/>
          <w:noProof/>
          <w:szCs w:val="24"/>
        </w:rPr>
        <w:tab/>
        <w:t xml:space="preserve">Viola, F. &amp; Celauro, C. Effect of climate change on asphalt binder selection for road construction in Italy. </w:t>
      </w:r>
      <w:r w:rsidRPr="00C70391">
        <w:rPr>
          <w:rFonts w:ascii="Times New Roman" w:hAnsi="Times New Roman" w:cs="Times New Roman"/>
          <w:i/>
          <w:iCs/>
          <w:noProof/>
          <w:szCs w:val="24"/>
        </w:rPr>
        <w:t>Transp. Res. Part D Transp. Environ.</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37</w:t>
      </w:r>
      <w:r w:rsidRPr="00C70391">
        <w:rPr>
          <w:rFonts w:ascii="Times New Roman" w:hAnsi="Times New Roman" w:cs="Times New Roman"/>
          <w:noProof/>
          <w:szCs w:val="24"/>
        </w:rPr>
        <w:t>, 40–47 (2015).</w:t>
      </w:r>
    </w:p>
    <w:p w14:paraId="29616E39"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32.</w:t>
      </w:r>
      <w:r w:rsidRPr="00C70391">
        <w:rPr>
          <w:rFonts w:ascii="Times New Roman" w:hAnsi="Times New Roman" w:cs="Times New Roman"/>
          <w:noProof/>
          <w:szCs w:val="24"/>
        </w:rPr>
        <w:tab/>
        <w:t xml:space="preserve">Montoya, M. A. </w:t>
      </w:r>
      <w:r w:rsidRPr="00C70391">
        <w:rPr>
          <w:rFonts w:ascii="Times New Roman" w:hAnsi="Times New Roman" w:cs="Times New Roman"/>
          <w:i/>
          <w:iCs/>
          <w:noProof/>
          <w:szCs w:val="24"/>
        </w:rPr>
        <w:t>et al.</w:t>
      </w:r>
      <w:r w:rsidRPr="00C70391">
        <w:rPr>
          <w:rFonts w:ascii="Times New Roman" w:hAnsi="Times New Roman" w:cs="Times New Roman"/>
          <w:noProof/>
          <w:szCs w:val="24"/>
        </w:rPr>
        <w:t xml:space="preserve"> Environmentally Tuning Asphalt Pavements Using Phase Change Materials. (2022).</w:t>
      </w:r>
    </w:p>
    <w:p w14:paraId="19CE4771"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33.</w:t>
      </w:r>
      <w:r w:rsidRPr="00C70391">
        <w:rPr>
          <w:rFonts w:ascii="Times New Roman" w:hAnsi="Times New Roman" w:cs="Times New Roman"/>
          <w:noProof/>
          <w:szCs w:val="24"/>
        </w:rPr>
        <w:tab/>
        <w:t xml:space="preserve">Bueno, M. </w:t>
      </w:r>
      <w:r w:rsidRPr="00C70391">
        <w:rPr>
          <w:rFonts w:ascii="Times New Roman" w:hAnsi="Times New Roman" w:cs="Times New Roman"/>
          <w:i/>
          <w:iCs/>
          <w:noProof/>
          <w:szCs w:val="24"/>
        </w:rPr>
        <w:t>et al.</w:t>
      </w:r>
      <w:r w:rsidRPr="00C70391">
        <w:rPr>
          <w:rFonts w:ascii="Times New Roman" w:hAnsi="Times New Roman" w:cs="Times New Roman"/>
          <w:noProof/>
          <w:szCs w:val="24"/>
        </w:rPr>
        <w:t xml:space="preserve"> Modification of asphalt mixtures for cold regions using microencapsulated phase change materials. </w:t>
      </w:r>
      <w:r w:rsidRPr="00C70391">
        <w:rPr>
          <w:rFonts w:ascii="Times New Roman" w:hAnsi="Times New Roman" w:cs="Times New Roman"/>
          <w:i/>
          <w:iCs/>
          <w:noProof/>
          <w:szCs w:val="24"/>
        </w:rPr>
        <w:t>Sci. Rep.</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9</w:t>
      </w:r>
      <w:r w:rsidRPr="00C70391">
        <w:rPr>
          <w:rFonts w:ascii="Times New Roman" w:hAnsi="Times New Roman" w:cs="Times New Roman"/>
          <w:noProof/>
          <w:szCs w:val="24"/>
        </w:rPr>
        <w:t>, 20342 (2019).</w:t>
      </w:r>
    </w:p>
    <w:p w14:paraId="19977F83"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34.</w:t>
      </w:r>
      <w:r w:rsidRPr="00C70391">
        <w:rPr>
          <w:rFonts w:ascii="Times New Roman" w:hAnsi="Times New Roman" w:cs="Times New Roman"/>
          <w:noProof/>
          <w:szCs w:val="24"/>
        </w:rPr>
        <w:tab/>
        <w:t xml:space="preserve">McAdams, W. H. &amp; McAdams, W. H. </w:t>
      </w:r>
      <w:r w:rsidRPr="00C70391">
        <w:rPr>
          <w:rFonts w:ascii="Times New Roman" w:hAnsi="Times New Roman" w:cs="Times New Roman"/>
          <w:i/>
          <w:iCs/>
          <w:noProof/>
          <w:szCs w:val="24"/>
        </w:rPr>
        <w:t>Heat transmission</w:t>
      </w:r>
      <w:r w:rsidRPr="00C70391">
        <w:rPr>
          <w:rFonts w:ascii="Times New Roman" w:hAnsi="Times New Roman" w:cs="Times New Roman"/>
          <w:noProof/>
          <w:szCs w:val="24"/>
        </w:rPr>
        <w:t>. vol. 3 (McGraw-hill New York, 1954).</w:t>
      </w:r>
    </w:p>
    <w:p w14:paraId="640386AD"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35.</w:t>
      </w:r>
      <w:r w:rsidRPr="00C70391">
        <w:rPr>
          <w:rFonts w:ascii="Times New Roman" w:hAnsi="Times New Roman" w:cs="Times New Roman"/>
          <w:noProof/>
          <w:szCs w:val="24"/>
        </w:rPr>
        <w:tab/>
        <w:t xml:space="preserve">Mirsadeghi, M., Costola, D., Blocken, B. &amp; Hensen, J. L. M. Review of external convective heat transfer coefficient models in building energy simulation programs: Implementation and uncertainty. </w:t>
      </w:r>
      <w:r w:rsidRPr="00C70391">
        <w:rPr>
          <w:rFonts w:ascii="Times New Roman" w:hAnsi="Times New Roman" w:cs="Times New Roman"/>
          <w:i/>
          <w:iCs/>
          <w:noProof/>
          <w:szCs w:val="24"/>
        </w:rPr>
        <w:t>Appl. Therm. Eng.</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56</w:t>
      </w:r>
      <w:r w:rsidRPr="00C70391">
        <w:rPr>
          <w:rFonts w:ascii="Times New Roman" w:hAnsi="Times New Roman" w:cs="Times New Roman"/>
          <w:noProof/>
          <w:szCs w:val="24"/>
        </w:rPr>
        <w:t>, 134–151 (2013).</w:t>
      </w:r>
    </w:p>
    <w:p w14:paraId="76527CA0"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36.</w:t>
      </w:r>
      <w:r w:rsidRPr="00C70391">
        <w:rPr>
          <w:rFonts w:ascii="Times New Roman" w:hAnsi="Times New Roman" w:cs="Times New Roman"/>
          <w:noProof/>
          <w:szCs w:val="24"/>
        </w:rPr>
        <w:tab/>
        <w:t xml:space="preserve">Robinson, A. California on fire, and can plants think? Books in brief. </w:t>
      </w:r>
      <w:r w:rsidRPr="00C70391">
        <w:rPr>
          <w:rFonts w:ascii="Times New Roman" w:hAnsi="Times New Roman" w:cs="Times New Roman"/>
          <w:i/>
          <w:iCs/>
          <w:noProof/>
          <w:szCs w:val="24"/>
        </w:rPr>
        <w:t>Nature</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611</w:t>
      </w:r>
      <w:r w:rsidRPr="00C70391">
        <w:rPr>
          <w:rFonts w:ascii="Times New Roman" w:hAnsi="Times New Roman" w:cs="Times New Roman"/>
          <w:noProof/>
          <w:szCs w:val="24"/>
        </w:rPr>
        <w:t>, 659 (2022).</w:t>
      </w:r>
    </w:p>
    <w:p w14:paraId="558407E6"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37.</w:t>
      </w:r>
      <w:r w:rsidRPr="00C70391">
        <w:rPr>
          <w:rFonts w:ascii="Times New Roman" w:hAnsi="Times New Roman" w:cs="Times New Roman"/>
          <w:noProof/>
          <w:szCs w:val="24"/>
        </w:rPr>
        <w:tab/>
        <w:t xml:space="preserve">Hamideh, S., Sen, P. &amp; Fischer, E. Wildfire impacts on education and healthcare: Paradise, California, after the Camp Fire. </w:t>
      </w:r>
      <w:r w:rsidRPr="00C70391">
        <w:rPr>
          <w:rFonts w:ascii="Times New Roman" w:hAnsi="Times New Roman" w:cs="Times New Roman"/>
          <w:i/>
          <w:iCs/>
          <w:noProof/>
          <w:szCs w:val="24"/>
        </w:rPr>
        <w:t>Nat. hazards</w:t>
      </w:r>
      <w:r w:rsidRPr="00C70391">
        <w:rPr>
          <w:rFonts w:ascii="Times New Roman" w:hAnsi="Times New Roman" w:cs="Times New Roman"/>
          <w:noProof/>
          <w:szCs w:val="24"/>
        </w:rPr>
        <w:t xml:space="preserve"> 1–35 (2022).</w:t>
      </w:r>
    </w:p>
    <w:p w14:paraId="452FF379"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38.</w:t>
      </w:r>
      <w:r w:rsidRPr="00C70391">
        <w:rPr>
          <w:rFonts w:ascii="Times New Roman" w:hAnsi="Times New Roman" w:cs="Times New Roman"/>
          <w:noProof/>
          <w:szCs w:val="24"/>
        </w:rPr>
        <w:tab/>
        <w:t xml:space="preserve">Bramwell, L. Understanding Wildfire in the Twenty-First Century: The Return of Disaster Fires. </w:t>
      </w:r>
      <w:r w:rsidRPr="00C70391">
        <w:rPr>
          <w:rFonts w:ascii="Times New Roman" w:hAnsi="Times New Roman" w:cs="Times New Roman"/>
          <w:i/>
          <w:iCs/>
          <w:noProof/>
          <w:szCs w:val="24"/>
        </w:rPr>
        <w:t>Environ. Hist. Durh. N. C.</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28</w:t>
      </w:r>
      <w:r w:rsidRPr="00C70391">
        <w:rPr>
          <w:rFonts w:ascii="Times New Roman" w:hAnsi="Times New Roman" w:cs="Times New Roman"/>
          <w:noProof/>
          <w:szCs w:val="24"/>
        </w:rPr>
        <w:t>, 467–494 (2023).</w:t>
      </w:r>
    </w:p>
    <w:p w14:paraId="5B9C3888"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39.</w:t>
      </w:r>
      <w:r w:rsidRPr="00C70391">
        <w:rPr>
          <w:rFonts w:ascii="Times New Roman" w:hAnsi="Times New Roman" w:cs="Times New Roman"/>
          <w:noProof/>
          <w:szCs w:val="24"/>
        </w:rPr>
        <w:tab/>
        <w:t xml:space="preserve">Barzegar, M. &amp; Wen, H. Modeling roadway temperatures for wildfire evacuation and assessment of pavement damage. </w:t>
      </w:r>
      <w:r w:rsidRPr="00C70391">
        <w:rPr>
          <w:rFonts w:ascii="Times New Roman" w:hAnsi="Times New Roman" w:cs="Times New Roman"/>
          <w:i/>
          <w:iCs/>
          <w:noProof/>
          <w:szCs w:val="24"/>
        </w:rPr>
        <w:t>J. Infrastruct. Preserv. Resil.</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4</w:t>
      </w:r>
      <w:r w:rsidRPr="00C70391">
        <w:rPr>
          <w:rFonts w:ascii="Times New Roman" w:hAnsi="Times New Roman" w:cs="Times New Roman"/>
          <w:noProof/>
          <w:szCs w:val="24"/>
        </w:rPr>
        <w:t>, 18 (2023).</w:t>
      </w:r>
    </w:p>
    <w:p w14:paraId="13318F80"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40.</w:t>
      </w:r>
      <w:r w:rsidRPr="00C70391">
        <w:rPr>
          <w:rFonts w:ascii="Times New Roman" w:hAnsi="Times New Roman" w:cs="Times New Roman"/>
          <w:noProof/>
          <w:szCs w:val="24"/>
        </w:rPr>
        <w:tab/>
        <w:t xml:space="preserve">Dennison, P. E., Charoensiri, K., Roberts, D. A., Peterson, S. H. &amp; Green, R. O. Wildfire temperature and land cover modeling using hyperspectral data. </w:t>
      </w:r>
      <w:r w:rsidRPr="00C70391">
        <w:rPr>
          <w:rFonts w:ascii="Times New Roman" w:hAnsi="Times New Roman" w:cs="Times New Roman"/>
          <w:i/>
          <w:iCs/>
          <w:noProof/>
          <w:szCs w:val="24"/>
        </w:rPr>
        <w:t>Remote Sens. Environ.</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100</w:t>
      </w:r>
      <w:r w:rsidRPr="00C70391">
        <w:rPr>
          <w:rFonts w:ascii="Times New Roman" w:hAnsi="Times New Roman" w:cs="Times New Roman"/>
          <w:noProof/>
          <w:szCs w:val="24"/>
        </w:rPr>
        <w:t>, 212–222 (2006).</w:t>
      </w:r>
    </w:p>
    <w:p w14:paraId="6F5AF006"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41.</w:t>
      </w:r>
      <w:r w:rsidRPr="00C70391">
        <w:rPr>
          <w:rFonts w:ascii="Times New Roman" w:hAnsi="Times New Roman" w:cs="Times New Roman"/>
          <w:noProof/>
          <w:szCs w:val="24"/>
        </w:rPr>
        <w:tab/>
        <w:t xml:space="preserve">Tiwari, B., Ajmera, B., Gonzalez, A. &amp; Sonbol, H. Impact of wildfire on triggering mudslides—a case study of 2018 Montecito debris flows. in </w:t>
      </w:r>
      <w:r w:rsidRPr="00C70391">
        <w:rPr>
          <w:rFonts w:ascii="Times New Roman" w:hAnsi="Times New Roman" w:cs="Times New Roman"/>
          <w:i/>
          <w:iCs/>
          <w:noProof/>
          <w:szCs w:val="24"/>
        </w:rPr>
        <w:t>Geo-congress 2020</w:t>
      </w:r>
      <w:r w:rsidRPr="00C70391">
        <w:rPr>
          <w:rFonts w:ascii="Times New Roman" w:hAnsi="Times New Roman" w:cs="Times New Roman"/>
          <w:noProof/>
          <w:szCs w:val="24"/>
        </w:rPr>
        <w:t xml:space="preserve"> 40–49 (American Society of Civil Engineers Reston, VA, 2020).</w:t>
      </w:r>
    </w:p>
    <w:p w14:paraId="0EB6FDCF"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42.</w:t>
      </w:r>
      <w:r w:rsidRPr="00C70391">
        <w:rPr>
          <w:rFonts w:ascii="Times New Roman" w:hAnsi="Times New Roman" w:cs="Times New Roman"/>
          <w:noProof/>
          <w:szCs w:val="24"/>
        </w:rPr>
        <w:tab/>
        <w:t xml:space="preserve">Fraser, A. M., Chester, M. V &amp; Underwood, B. S. Wildfire risk, post-fire debris flows, and transportation infrastructure vulnerability. </w:t>
      </w:r>
      <w:r w:rsidRPr="00C70391">
        <w:rPr>
          <w:rFonts w:ascii="Times New Roman" w:hAnsi="Times New Roman" w:cs="Times New Roman"/>
          <w:i/>
          <w:iCs/>
          <w:noProof/>
          <w:szCs w:val="24"/>
        </w:rPr>
        <w:t>Sustain. Resilient Infrastruct.</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7</w:t>
      </w:r>
      <w:r w:rsidRPr="00C70391">
        <w:rPr>
          <w:rFonts w:ascii="Times New Roman" w:hAnsi="Times New Roman" w:cs="Times New Roman"/>
          <w:noProof/>
          <w:szCs w:val="24"/>
        </w:rPr>
        <w:t>, 188–200 (2022).</w:t>
      </w:r>
    </w:p>
    <w:p w14:paraId="1D33A9C5"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43.</w:t>
      </w:r>
      <w:r w:rsidRPr="00C70391">
        <w:rPr>
          <w:rFonts w:ascii="Times New Roman" w:hAnsi="Times New Roman" w:cs="Times New Roman"/>
          <w:noProof/>
          <w:szCs w:val="24"/>
        </w:rPr>
        <w:tab/>
        <w:t xml:space="preserve">Ascoli, D., Russo, L., Giannino, F., Siettos, C. &amp; Moreira, F. Firebreak and fuelbreak. in </w:t>
      </w:r>
      <w:r w:rsidRPr="00C70391">
        <w:rPr>
          <w:rFonts w:ascii="Times New Roman" w:hAnsi="Times New Roman" w:cs="Times New Roman"/>
          <w:i/>
          <w:iCs/>
          <w:noProof/>
          <w:szCs w:val="24"/>
        </w:rPr>
        <w:t>Encyclopedia of wildfires and wildland-urban interface (WUI) fires</w:t>
      </w:r>
      <w:r w:rsidRPr="00C70391">
        <w:rPr>
          <w:rFonts w:ascii="Times New Roman" w:hAnsi="Times New Roman" w:cs="Times New Roman"/>
          <w:noProof/>
          <w:szCs w:val="24"/>
        </w:rPr>
        <w:t xml:space="preserve"> 444–452 (Springer, 2020).</w:t>
      </w:r>
    </w:p>
    <w:p w14:paraId="6204AD8D"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szCs w:val="24"/>
        </w:rPr>
      </w:pPr>
      <w:r w:rsidRPr="00C70391">
        <w:rPr>
          <w:rFonts w:ascii="Times New Roman" w:hAnsi="Times New Roman" w:cs="Times New Roman"/>
          <w:noProof/>
          <w:szCs w:val="24"/>
        </w:rPr>
        <w:t>44.</w:t>
      </w:r>
      <w:r w:rsidRPr="00C70391">
        <w:rPr>
          <w:rFonts w:ascii="Times New Roman" w:hAnsi="Times New Roman" w:cs="Times New Roman"/>
          <w:noProof/>
          <w:szCs w:val="24"/>
        </w:rPr>
        <w:tab/>
        <w:t xml:space="preserve">Modaresi Rad, A. </w:t>
      </w:r>
      <w:r w:rsidRPr="00C70391">
        <w:rPr>
          <w:rFonts w:ascii="Times New Roman" w:hAnsi="Times New Roman" w:cs="Times New Roman"/>
          <w:i/>
          <w:iCs/>
          <w:noProof/>
          <w:szCs w:val="24"/>
        </w:rPr>
        <w:t>et al.</w:t>
      </w:r>
      <w:r w:rsidRPr="00C70391">
        <w:rPr>
          <w:rFonts w:ascii="Times New Roman" w:hAnsi="Times New Roman" w:cs="Times New Roman"/>
          <w:noProof/>
          <w:szCs w:val="24"/>
        </w:rPr>
        <w:t xml:space="preserve"> Human and infrastructure exposure to large wildfires in the United States. </w:t>
      </w:r>
      <w:r w:rsidRPr="00C70391">
        <w:rPr>
          <w:rFonts w:ascii="Times New Roman" w:hAnsi="Times New Roman" w:cs="Times New Roman"/>
          <w:i/>
          <w:iCs/>
          <w:noProof/>
          <w:szCs w:val="24"/>
        </w:rPr>
        <w:t>Nat. Sustain.</w:t>
      </w:r>
      <w:r w:rsidRPr="00C70391">
        <w:rPr>
          <w:rFonts w:ascii="Times New Roman" w:hAnsi="Times New Roman" w:cs="Times New Roman"/>
          <w:noProof/>
          <w:szCs w:val="24"/>
        </w:rPr>
        <w:t xml:space="preserve"> </w:t>
      </w:r>
      <w:r w:rsidRPr="00C70391">
        <w:rPr>
          <w:rFonts w:ascii="Times New Roman" w:hAnsi="Times New Roman" w:cs="Times New Roman"/>
          <w:b/>
          <w:bCs/>
          <w:noProof/>
          <w:szCs w:val="24"/>
        </w:rPr>
        <w:t>6</w:t>
      </w:r>
      <w:r w:rsidRPr="00C70391">
        <w:rPr>
          <w:rFonts w:ascii="Times New Roman" w:hAnsi="Times New Roman" w:cs="Times New Roman"/>
          <w:noProof/>
          <w:szCs w:val="24"/>
        </w:rPr>
        <w:t>, 1343–1351 (2023).</w:t>
      </w:r>
    </w:p>
    <w:p w14:paraId="6882E2E5" w14:textId="77777777" w:rsidR="00C70391" w:rsidRPr="00C70391" w:rsidRDefault="00C70391" w:rsidP="000D4A0A">
      <w:pPr>
        <w:widowControl w:val="0"/>
        <w:autoSpaceDE w:val="0"/>
        <w:autoSpaceDN w:val="0"/>
        <w:adjustRightInd w:val="0"/>
        <w:spacing w:before="100" w:after="100" w:line="240" w:lineRule="auto"/>
        <w:ind w:left="640" w:hanging="640"/>
        <w:rPr>
          <w:rFonts w:ascii="Times New Roman" w:hAnsi="Times New Roman" w:cs="Times New Roman"/>
          <w:noProof/>
        </w:rPr>
      </w:pPr>
      <w:r w:rsidRPr="00C70391">
        <w:rPr>
          <w:rFonts w:ascii="Times New Roman" w:hAnsi="Times New Roman" w:cs="Times New Roman"/>
          <w:noProof/>
          <w:szCs w:val="24"/>
        </w:rPr>
        <w:t>45.</w:t>
      </w:r>
      <w:r w:rsidRPr="00C70391">
        <w:rPr>
          <w:rFonts w:ascii="Times New Roman" w:hAnsi="Times New Roman" w:cs="Times New Roman"/>
          <w:noProof/>
          <w:szCs w:val="24"/>
        </w:rPr>
        <w:tab/>
        <w:t xml:space="preserve">Nassiri, S. </w:t>
      </w:r>
      <w:r w:rsidRPr="00C70391">
        <w:rPr>
          <w:rFonts w:ascii="Times New Roman" w:hAnsi="Times New Roman" w:cs="Times New Roman"/>
          <w:i/>
          <w:iCs/>
          <w:noProof/>
          <w:szCs w:val="24"/>
        </w:rPr>
        <w:t>et al.</w:t>
      </w:r>
      <w:r w:rsidRPr="00C70391">
        <w:rPr>
          <w:rFonts w:ascii="Times New Roman" w:hAnsi="Times New Roman" w:cs="Times New Roman"/>
          <w:noProof/>
          <w:szCs w:val="24"/>
        </w:rPr>
        <w:t xml:space="preserve"> Evaluating Road Resilience to Wildfires: Case Studies of Camp and Carr Fires. (2023).</w:t>
      </w:r>
    </w:p>
    <w:p w14:paraId="58C3615B" w14:textId="1E21489A" w:rsidR="00186043" w:rsidRPr="007A6B36" w:rsidRDefault="00D129C9" w:rsidP="000D4A0A">
      <w:pPr>
        <w:spacing w:before="100" w:beforeAutospacing="1" w:after="100" w:afterAutospacing="1" w:line="240" w:lineRule="auto"/>
        <w:rPr>
          <w:rFonts w:cstheme="majorBidi"/>
          <w:szCs w:val="24"/>
        </w:rPr>
      </w:pPr>
      <w:r w:rsidRPr="007A6B36">
        <w:rPr>
          <w:rFonts w:eastAsia="Times New Roman" w:cstheme="majorBidi"/>
          <w:szCs w:val="24"/>
        </w:rPr>
        <w:lastRenderedPageBreak/>
        <w:fldChar w:fldCharType="end"/>
      </w:r>
    </w:p>
    <w:sectPr w:rsidR="00186043" w:rsidRPr="007A6B36" w:rsidSect="00C858DE">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90F07"/>
    <w:multiLevelType w:val="hybridMultilevel"/>
    <w:tmpl w:val="5092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B741EE"/>
    <w:multiLevelType w:val="hybridMultilevel"/>
    <w:tmpl w:val="B2981972"/>
    <w:lvl w:ilvl="0" w:tplc="83DABF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3E5B05"/>
    <w:multiLevelType w:val="hybridMultilevel"/>
    <w:tmpl w:val="2546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F76"/>
    <w:rsid w:val="00000174"/>
    <w:rsid w:val="00004112"/>
    <w:rsid w:val="00006E53"/>
    <w:rsid w:val="00024B7F"/>
    <w:rsid w:val="00026D6F"/>
    <w:rsid w:val="00031E19"/>
    <w:rsid w:val="00036BCA"/>
    <w:rsid w:val="000401A5"/>
    <w:rsid w:val="000551FF"/>
    <w:rsid w:val="00067F76"/>
    <w:rsid w:val="00070422"/>
    <w:rsid w:val="000708A7"/>
    <w:rsid w:val="000841A7"/>
    <w:rsid w:val="00094C6A"/>
    <w:rsid w:val="000965A1"/>
    <w:rsid w:val="000971F1"/>
    <w:rsid w:val="000D4A0A"/>
    <w:rsid w:val="000E435F"/>
    <w:rsid w:val="000F426F"/>
    <w:rsid w:val="000F4412"/>
    <w:rsid w:val="000F4C95"/>
    <w:rsid w:val="000F7869"/>
    <w:rsid w:val="00124DD3"/>
    <w:rsid w:val="00124E8D"/>
    <w:rsid w:val="001262C6"/>
    <w:rsid w:val="0013231A"/>
    <w:rsid w:val="00135A67"/>
    <w:rsid w:val="00140FE7"/>
    <w:rsid w:val="001416FD"/>
    <w:rsid w:val="0014592C"/>
    <w:rsid w:val="001462DF"/>
    <w:rsid w:val="001532D2"/>
    <w:rsid w:val="00157596"/>
    <w:rsid w:val="00172579"/>
    <w:rsid w:val="001752A1"/>
    <w:rsid w:val="00186043"/>
    <w:rsid w:val="001A276C"/>
    <w:rsid w:val="001A4191"/>
    <w:rsid w:val="001C2CE1"/>
    <w:rsid w:val="001D099D"/>
    <w:rsid w:val="001E4CEC"/>
    <w:rsid w:val="001F7740"/>
    <w:rsid w:val="00202B47"/>
    <w:rsid w:val="00206A4B"/>
    <w:rsid w:val="00227A97"/>
    <w:rsid w:val="0025003A"/>
    <w:rsid w:val="00262D67"/>
    <w:rsid w:val="002756C3"/>
    <w:rsid w:val="00282050"/>
    <w:rsid w:val="0028485E"/>
    <w:rsid w:val="00284CEF"/>
    <w:rsid w:val="0029198F"/>
    <w:rsid w:val="00294A9F"/>
    <w:rsid w:val="002A3BF0"/>
    <w:rsid w:val="002B506E"/>
    <w:rsid w:val="002C7449"/>
    <w:rsid w:val="002D5373"/>
    <w:rsid w:val="003010E7"/>
    <w:rsid w:val="00315FF8"/>
    <w:rsid w:val="00330D93"/>
    <w:rsid w:val="003505FC"/>
    <w:rsid w:val="00365154"/>
    <w:rsid w:val="00366C66"/>
    <w:rsid w:val="00393AEF"/>
    <w:rsid w:val="003A585E"/>
    <w:rsid w:val="003B07FF"/>
    <w:rsid w:val="003B6568"/>
    <w:rsid w:val="003C1643"/>
    <w:rsid w:val="003C3B3F"/>
    <w:rsid w:val="003D4DF4"/>
    <w:rsid w:val="003E384C"/>
    <w:rsid w:val="003E3AE0"/>
    <w:rsid w:val="003F2CE0"/>
    <w:rsid w:val="00400EC6"/>
    <w:rsid w:val="00403933"/>
    <w:rsid w:val="004048D2"/>
    <w:rsid w:val="00405C0E"/>
    <w:rsid w:val="0041675F"/>
    <w:rsid w:val="00430B8A"/>
    <w:rsid w:val="004326E4"/>
    <w:rsid w:val="00447000"/>
    <w:rsid w:val="004538B9"/>
    <w:rsid w:val="00463C5C"/>
    <w:rsid w:val="00464EEF"/>
    <w:rsid w:val="00483724"/>
    <w:rsid w:val="004A07D7"/>
    <w:rsid w:val="004A2531"/>
    <w:rsid w:val="004A753D"/>
    <w:rsid w:val="004B4FC1"/>
    <w:rsid w:val="004B6614"/>
    <w:rsid w:val="004C74DD"/>
    <w:rsid w:val="004D06E7"/>
    <w:rsid w:val="004D7756"/>
    <w:rsid w:val="004E45B3"/>
    <w:rsid w:val="0050138F"/>
    <w:rsid w:val="00512813"/>
    <w:rsid w:val="00515F99"/>
    <w:rsid w:val="0051725A"/>
    <w:rsid w:val="00520AD3"/>
    <w:rsid w:val="0052201E"/>
    <w:rsid w:val="005309B0"/>
    <w:rsid w:val="005328D1"/>
    <w:rsid w:val="005712CA"/>
    <w:rsid w:val="00576D4F"/>
    <w:rsid w:val="00582D1D"/>
    <w:rsid w:val="00592B22"/>
    <w:rsid w:val="00595F2F"/>
    <w:rsid w:val="005C244C"/>
    <w:rsid w:val="005D4589"/>
    <w:rsid w:val="00611BFA"/>
    <w:rsid w:val="006217F8"/>
    <w:rsid w:val="00623AB2"/>
    <w:rsid w:val="00637D5B"/>
    <w:rsid w:val="00641C2B"/>
    <w:rsid w:val="0064610D"/>
    <w:rsid w:val="00652E87"/>
    <w:rsid w:val="00661534"/>
    <w:rsid w:val="00662623"/>
    <w:rsid w:val="00690198"/>
    <w:rsid w:val="00691A1E"/>
    <w:rsid w:val="00697A68"/>
    <w:rsid w:val="006A700C"/>
    <w:rsid w:val="006A7458"/>
    <w:rsid w:val="006C1BAA"/>
    <w:rsid w:val="006C2FC2"/>
    <w:rsid w:val="006D103A"/>
    <w:rsid w:val="006D6955"/>
    <w:rsid w:val="006F2F79"/>
    <w:rsid w:val="006F5D92"/>
    <w:rsid w:val="006F6049"/>
    <w:rsid w:val="0076127A"/>
    <w:rsid w:val="00763BA3"/>
    <w:rsid w:val="00767077"/>
    <w:rsid w:val="00770F9C"/>
    <w:rsid w:val="0077497B"/>
    <w:rsid w:val="00776268"/>
    <w:rsid w:val="007873F6"/>
    <w:rsid w:val="00793CF0"/>
    <w:rsid w:val="007A4215"/>
    <w:rsid w:val="007A6581"/>
    <w:rsid w:val="007A6B36"/>
    <w:rsid w:val="007C20DD"/>
    <w:rsid w:val="007F3AC8"/>
    <w:rsid w:val="008111B5"/>
    <w:rsid w:val="00821AEC"/>
    <w:rsid w:val="0083050C"/>
    <w:rsid w:val="00832FFB"/>
    <w:rsid w:val="00846825"/>
    <w:rsid w:val="00860089"/>
    <w:rsid w:val="00865B91"/>
    <w:rsid w:val="0087345B"/>
    <w:rsid w:val="008913E2"/>
    <w:rsid w:val="008A017E"/>
    <w:rsid w:val="008D28F1"/>
    <w:rsid w:val="008D3A53"/>
    <w:rsid w:val="008E456D"/>
    <w:rsid w:val="008E6169"/>
    <w:rsid w:val="008E7215"/>
    <w:rsid w:val="008F631E"/>
    <w:rsid w:val="00903048"/>
    <w:rsid w:val="00914735"/>
    <w:rsid w:val="00914EDC"/>
    <w:rsid w:val="009356F3"/>
    <w:rsid w:val="00956FF0"/>
    <w:rsid w:val="00962406"/>
    <w:rsid w:val="00964E05"/>
    <w:rsid w:val="00985EED"/>
    <w:rsid w:val="0099178A"/>
    <w:rsid w:val="009A3492"/>
    <w:rsid w:val="009A5A49"/>
    <w:rsid w:val="009A742F"/>
    <w:rsid w:val="009B1BDF"/>
    <w:rsid w:val="009C1088"/>
    <w:rsid w:val="009D0A01"/>
    <w:rsid w:val="009D14C3"/>
    <w:rsid w:val="009F0FA6"/>
    <w:rsid w:val="009F13BC"/>
    <w:rsid w:val="00A007E4"/>
    <w:rsid w:val="00A073C1"/>
    <w:rsid w:val="00A45A94"/>
    <w:rsid w:val="00A5334B"/>
    <w:rsid w:val="00A630D0"/>
    <w:rsid w:val="00A654B2"/>
    <w:rsid w:val="00A804EB"/>
    <w:rsid w:val="00A86635"/>
    <w:rsid w:val="00AA38E9"/>
    <w:rsid w:val="00AC1D39"/>
    <w:rsid w:val="00AE5195"/>
    <w:rsid w:val="00B60343"/>
    <w:rsid w:val="00B60CE8"/>
    <w:rsid w:val="00B6445D"/>
    <w:rsid w:val="00B64F74"/>
    <w:rsid w:val="00B74C64"/>
    <w:rsid w:val="00B83A63"/>
    <w:rsid w:val="00BA4149"/>
    <w:rsid w:val="00BD21A8"/>
    <w:rsid w:val="00BD3A8B"/>
    <w:rsid w:val="00BF1894"/>
    <w:rsid w:val="00C01A16"/>
    <w:rsid w:val="00C04739"/>
    <w:rsid w:val="00C276D2"/>
    <w:rsid w:val="00C65464"/>
    <w:rsid w:val="00C70391"/>
    <w:rsid w:val="00C74E00"/>
    <w:rsid w:val="00C858DE"/>
    <w:rsid w:val="00CC3D45"/>
    <w:rsid w:val="00CC6FF2"/>
    <w:rsid w:val="00CE2BED"/>
    <w:rsid w:val="00CE3D62"/>
    <w:rsid w:val="00D129C9"/>
    <w:rsid w:val="00D305C1"/>
    <w:rsid w:val="00D46316"/>
    <w:rsid w:val="00D545F9"/>
    <w:rsid w:val="00D648E7"/>
    <w:rsid w:val="00D926A2"/>
    <w:rsid w:val="00DA12EF"/>
    <w:rsid w:val="00DA720D"/>
    <w:rsid w:val="00DC16AF"/>
    <w:rsid w:val="00DD23DD"/>
    <w:rsid w:val="00DE3ABE"/>
    <w:rsid w:val="00DF11F8"/>
    <w:rsid w:val="00E0109E"/>
    <w:rsid w:val="00E0586E"/>
    <w:rsid w:val="00E132BC"/>
    <w:rsid w:val="00E2155F"/>
    <w:rsid w:val="00E37CA7"/>
    <w:rsid w:val="00E43756"/>
    <w:rsid w:val="00E54026"/>
    <w:rsid w:val="00E65898"/>
    <w:rsid w:val="00E70079"/>
    <w:rsid w:val="00E713C2"/>
    <w:rsid w:val="00E941A3"/>
    <w:rsid w:val="00EA14E3"/>
    <w:rsid w:val="00EA5D2C"/>
    <w:rsid w:val="00ED4488"/>
    <w:rsid w:val="00EE7AF5"/>
    <w:rsid w:val="00EF17D7"/>
    <w:rsid w:val="00EF23BF"/>
    <w:rsid w:val="00F02D45"/>
    <w:rsid w:val="00F10440"/>
    <w:rsid w:val="00F16135"/>
    <w:rsid w:val="00F336A2"/>
    <w:rsid w:val="00F534E9"/>
    <w:rsid w:val="00F62300"/>
    <w:rsid w:val="00F6557E"/>
    <w:rsid w:val="00F86F40"/>
    <w:rsid w:val="00F90E4C"/>
    <w:rsid w:val="00F91554"/>
    <w:rsid w:val="00FA5E2B"/>
    <w:rsid w:val="00FD3CD2"/>
    <w:rsid w:val="00FE14D4"/>
    <w:rsid w:val="00FE3C1E"/>
    <w:rsid w:val="00FF25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307857"/>
  <w15:chartTrackingRefBased/>
  <w15:docId w15:val="{3D00D558-6541-43FC-B833-379047CFF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BCA"/>
    <w:rPr>
      <w:rFonts w:asciiTheme="majorBidi" w:hAnsiTheme="majorBidi"/>
      <w:sz w:val="24"/>
    </w:rPr>
  </w:style>
  <w:style w:type="paragraph" w:styleId="Heading1">
    <w:name w:val="heading 1"/>
    <w:basedOn w:val="Normal"/>
    <w:next w:val="Normal"/>
    <w:link w:val="Heading1Char"/>
    <w:uiPriority w:val="9"/>
    <w:qFormat/>
    <w:rsid w:val="007A6B36"/>
    <w:pPr>
      <w:keepNext/>
      <w:keepLines/>
      <w:spacing w:before="360" w:after="24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7A6B36"/>
    <w:pPr>
      <w:keepNext/>
      <w:keepLines/>
      <w:spacing w:before="160" w:after="120"/>
      <w:outlineLvl w:val="1"/>
    </w:pPr>
    <w:rPr>
      <w:rFonts w:eastAsiaTheme="majorEastAsia" w:cstheme="majorBidi"/>
      <w:b/>
      <w:i/>
      <w:color w:val="000000" w:themeColor="text1"/>
      <w:sz w:val="26"/>
      <w:szCs w:val="26"/>
    </w:rPr>
  </w:style>
  <w:style w:type="paragraph" w:styleId="Heading3">
    <w:name w:val="heading 3"/>
    <w:basedOn w:val="Normal"/>
    <w:next w:val="Normal"/>
    <w:link w:val="Heading3Char"/>
    <w:autoRedefine/>
    <w:uiPriority w:val="9"/>
    <w:unhideWhenUsed/>
    <w:qFormat/>
    <w:rsid w:val="004A753D"/>
    <w:pPr>
      <w:keepNext/>
      <w:keepLines/>
      <w:spacing w:before="120" w:after="12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5195"/>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50138F"/>
    <w:rPr>
      <w:b/>
      <w:bCs/>
    </w:rPr>
  </w:style>
  <w:style w:type="character" w:customStyle="1" w:styleId="Heading1Char">
    <w:name w:val="Heading 1 Char"/>
    <w:basedOn w:val="DefaultParagraphFont"/>
    <w:link w:val="Heading1"/>
    <w:uiPriority w:val="9"/>
    <w:rsid w:val="007A6B36"/>
    <w:rPr>
      <w:rFonts w:asciiTheme="majorBidi" w:eastAsiaTheme="majorEastAsia" w:hAnsiTheme="majorBidi" w:cstheme="majorBidi"/>
      <w:b/>
      <w:color w:val="000000" w:themeColor="text1"/>
      <w:sz w:val="28"/>
      <w:szCs w:val="32"/>
    </w:rPr>
  </w:style>
  <w:style w:type="character" w:customStyle="1" w:styleId="Heading2Char">
    <w:name w:val="Heading 2 Char"/>
    <w:basedOn w:val="DefaultParagraphFont"/>
    <w:link w:val="Heading2"/>
    <w:uiPriority w:val="9"/>
    <w:rsid w:val="007A6B36"/>
    <w:rPr>
      <w:rFonts w:asciiTheme="majorBidi" w:eastAsiaTheme="majorEastAsia" w:hAnsiTheme="majorBidi" w:cstheme="majorBidi"/>
      <w:b/>
      <w:i/>
      <w:color w:val="000000" w:themeColor="text1"/>
      <w:sz w:val="26"/>
      <w:szCs w:val="26"/>
    </w:rPr>
  </w:style>
  <w:style w:type="character" w:styleId="LineNumber">
    <w:name w:val="line number"/>
    <w:basedOn w:val="DefaultParagraphFont"/>
    <w:uiPriority w:val="99"/>
    <w:semiHidden/>
    <w:unhideWhenUsed/>
    <w:rsid w:val="00C858DE"/>
  </w:style>
  <w:style w:type="character" w:customStyle="1" w:styleId="Heading3Char">
    <w:name w:val="Heading 3 Char"/>
    <w:basedOn w:val="DefaultParagraphFont"/>
    <w:link w:val="Heading3"/>
    <w:uiPriority w:val="9"/>
    <w:rsid w:val="004A753D"/>
    <w:rPr>
      <w:rFonts w:asciiTheme="majorBidi" w:eastAsiaTheme="majorEastAsia" w:hAnsiTheme="majorBidi" w:cstheme="majorBidi"/>
      <w:b/>
      <w:color w:val="000000" w:themeColor="text1"/>
      <w:sz w:val="24"/>
      <w:szCs w:val="24"/>
    </w:rPr>
  </w:style>
  <w:style w:type="character" w:customStyle="1" w:styleId="katex-mathml">
    <w:name w:val="katex-mathml"/>
    <w:basedOn w:val="DefaultParagraphFont"/>
    <w:rsid w:val="004E45B3"/>
  </w:style>
  <w:style w:type="character" w:customStyle="1" w:styleId="mord">
    <w:name w:val="mord"/>
    <w:basedOn w:val="DefaultParagraphFont"/>
    <w:rsid w:val="004E45B3"/>
  </w:style>
  <w:style w:type="character" w:customStyle="1" w:styleId="mrel">
    <w:name w:val="mrel"/>
    <w:basedOn w:val="DefaultParagraphFont"/>
    <w:rsid w:val="004E45B3"/>
  </w:style>
  <w:style w:type="character" w:customStyle="1" w:styleId="mbin">
    <w:name w:val="mbin"/>
    <w:basedOn w:val="DefaultParagraphFont"/>
    <w:rsid w:val="004E45B3"/>
  </w:style>
  <w:style w:type="character" w:customStyle="1" w:styleId="vlist-s">
    <w:name w:val="vlist-s"/>
    <w:basedOn w:val="DefaultParagraphFont"/>
    <w:rsid w:val="004E45B3"/>
  </w:style>
  <w:style w:type="character" w:customStyle="1" w:styleId="mopen">
    <w:name w:val="mopen"/>
    <w:basedOn w:val="DefaultParagraphFont"/>
    <w:rsid w:val="00447000"/>
  </w:style>
  <w:style w:type="character" w:customStyle="1" w:styleId="mclose">
    <w:name w:val="mclose"/>
    <w:basedOn w:val="DefaultParagraphFont"/>
    <w:rsid w:val="00447000"/>
  </w:style>
  <w:style w:type="character" w:styleId="PlaceholderText">
    <w:name w:val="Placeholder Text"/>
    <w:basedOn w:val="DefaultParagraphFont"/>
    <w:uiPriority w:val="99"/>
    <w:semiHidden/>
    <w:rsid w:val="004D7756"/>
    <w:rPr>
      <w:color w:val="808080"/>
    </w:rPr>
  </w:style>
  <w:style w:type="paragraph" w:styleId="ListParagraph">
    <w:name w:val="List Paragraph"/>
    <w:basedOn w:val="Normal"/>
    <w:uiPriority w:val="34"/>
    <w:qFormat/>
    <w:rsid w:val="00FE14D4"/>
    <w:pPr>
      <w:ind w:left="720"/>
      <w:contextualSpacing/>
    </w:pPr>
  </w:style>
  <w:style w:type="paragraph" w:styleId="Caption">
    <w:name w:val="caption"/>
    <w:basedOn w:val="Normal"/>
    <w:next w:val="Normal"/>
    <w:uiPriority w:val="35"/>
    <w:unhideWhenUsed/>
    <w:qFormat/>
    <w:rsid w:val="00DD23DD"/>
    <w:pPr>
      <w:spacing w:after="200" w:line="240" w:lineRule="auto"/>
    </w:pPr>
    <w:rPr>
      <w:iCs/>
      <w:color w:val="000000" w:themeColor="text1"/>
      <w:sz w:val="20"/>
      <w:szCs w:val="18"/>
    </w:rPr>
  </w:style>
  <w:style w:type="table" w:styleId="TableGrid">
    <w:name w:val="Table Grid"/>
    <w:basedOn w:val="TableNormal"/>
    <w:uiPriority w:val="39"/>
    <w:rsid w:val="00EE7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07D7"/>
    <w:rPr>
      <w:color w:val="0000FF"/>
      <w:u w:val="single"/>
    </w:rPr>
  </w:style>
  <w:style w:type="character" w:styleId="UnresolvedMention">
    <w:name w:val="Unresolved Mention"/>
    <w:basedOn w:val="DefaultParagraphFont"/>
    <w:uiPriority w:val="99"/>
    <w:semiHidden/>
    <w:unhideWhenUsed/>
    <w:rsid w:val="004D0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1777">
      <w:bodyDiv w:val="1"/>
      <w:marLeft w:val="0"/>
      <w:marRight w:val="0"/>
      <w:marTop w:val="0"/>
      <w:marBottom w:val="0"/>
      <w:divBdr>
        <w:top w:val="none" w:sz="0" w:space="0" w:color="auto"/>
        <w:left w:val="none" w:sz="0" w:space="0" w:color="auto"/>
        <w:bottom w:val="none" w:sz="0" w:space="0" w:color="auto"/>
        <w:right w:val="none" w:sz="0" w:space="0" w:color="auto"/>
      </w:divBdr>
    </w:div>
    <w:div w:id="54546912">
      <w:bodyDiv w:val="1"/>
      <w:marLeft w:val="0"/>
      <w:marRight w:val="0"/>
      <w:marTop w:val="0"/>
      <w:marBottom w:val="0"/>
      <w:divBdr>
        <w:top w:val="none" w:sz="0" w:space="0" w:color="auto"/>
        <w:left w:val="none" w:sz="0" w:space="0" w:color="auto"/>
        <w:bottom w:val="none" w:sz="0" w:space="0" w:color="auto"/>
        <w:right w:val="none" w:sz="0" w:space="0" w:color="auto"/>
      </w:divBdr>
    </w:div>
    <w:div w:id="229198341">
      <w:bodyDiv w:val="1"/>
      <w:marLeft w:val="0"/>
      <w:marRight w:val="0"/>
      <w:marTop w:val="0"/>
      <w:marBottom w:val="0"/>
      <w:divBdr>
        <w:top w:val="none" w:sz="0" w:space="0" w:color="auto"/>
        <w:left w:val="none" w:sz="0" w:space="0" w:color="auto"/>
        <w:bottom w:val="none" w:sz="0" w:space="0" w:color="auto"/>
        <w:right w:val="none" w:sz="0" w:space="0" w:color="auto"/>
      </w:divBdr>
    </w:div>
    <w:div w:id="448596397">
      <w:bodyDiv w:val="1"/>
      <w:marLeft w:val="0"/>
      <w:marRight w:val="0"/>
      <w:marTop w:val="0"/>
      <w:marBottom w:val="0"/>
      <w:divBdr>
        <w:top w:val="none" w:sz="0" w:space="0" w:color="auto"/>
        <w:left w:val="none" w:sz="0" w:space="0" w:color="auto"/>
        <w:bottom w:val="none" w:sz="0" w:space="0" w:color="auto"/>
        <w:right w:val="none" w:sz="0" w:space="0" w:color="auto"/>
      </w:divBdr>
    </w:div>
    <w:div w:id="618876675">
      <w:bodyDiv w:val="1"/>
      <w:marLeft w:val="0"/>
      <w:marRight w:val="0"/>
      <w:marTop w:val="0"/>
      <w:marBottom w:val="0"/>
      <w:divBdr>
        <w:top w:val="none" w:sz="0" w:space="0" w:color="auto"/>
        <w:left w:val="none" w:sz="0" w:space="0" w:color="auto"/>
        <w:bottom w:val="none" w:sz="0" w:space="0" w:color="auto"/>
        <w:right w:val="none" w:sz="0" w:space="0" w:color="auto"/>
      </w:divBdr>
    </w:div>
    <w:div w:id="791050363">
      <w:bodyDiv w:val="1"/>
      <w:marLeft w:val="0"/>
      <w:marRight w:val="0"/>
      <w:marTop w:val="0"/>
      <w:marBottom w:val="0"/>
      <w:divBdr>
        <w:top w:val="none" w:sz="0" w:space="0" w:color="auto"/>
        <w:left w:val="none" w:sz="0" w:space="0" w:color="auto"/>
        <w:bottom w:val="none" w:sz="0" w:space="0" w:color="auto"/>
        <w:right w:val="none" w:sz="0" w:space="0" w:color="auto"/>
      </w:divBdr>
    </w:div>
    <w:div w:id="794177077">
      <w:bodyDiv w:val="1"/>
      <w:marLeft w:val="0"/>
      <w:marRight w:val="0"/>
      <w:marTop w:val="0"/>
      <w:marBottom w:val="0"/>
      <w:divBdr>
        <w:top w:val="none" w:sz="0" w:space="0" w:color="auto"/>
        <w:left w:val="none" w:sz="0" w:space="0" w:color="auto"/>
        <w:bottom w:val="none" w:sz="0" w:space="0" w:color="auto"/>
        <w:right w:val="none" w:sz="0" w:space="0" w:color="auto"/>
      </w:divBdr>
    </w:div>
    <w:div w:id="1582330166">
      <w:bodyDiv w:val="1"/>
      <w:marLeft w:val="0"/>
      <w:marRight w:val="0"/>
      <w:marTop w:val="0"/>
      <w:marBottom w:val="0"/>
      <w:divBdr>
        <w:top w:val="none" w:sz="0" w:space="0" w:color="auto"/>
        <w:left w:val="none" w:sz="0" w:space="0" w:color="auto"/>
        <w:bottom w:val="none" w:sz="0" w:space="0" w:color="auto"/>
        <w:right w:val="none" w:sz="0" w:space="0" w:color="auto"/>
      </w:divBdr>
    </w:div>
    <w:div w:id="1805268326">
      <w:bodyDiv w:val="1"/>
      <w:marLeft w:val="0"/>
      <w:marRight w:val="0"/>
      <w:marTop w:val="0"/>
      <w:marBottom w:val="0"/>
      <w:divBdr>
        <w:top w:val="none" w:sz="0" w:space="0" w:color="auto"/>
        <w:left w:val="none" w:sz="0" w:space="0" w:color="auto"/>
        <w:bottom w:val="none" w:sz="0" w:space="0" w:color="auto"/>
        <w:right w:val="none" w:sz="0" w:space="0" w:color="auto"/>
      </w:divBdr>
    </w:div>
    <w:div w:id="1861822492">
      <w:bodyDiv w:val="1"/>
      <w:marLeft w:val="0"/>
      <w:marRight w:val="0"/>
      <w:marTop w:val="0"/>
      <w:marBottom w:val="0"/>
      <w:divBdr>
        <w:top w:val="none" w:sz="0" w:space="0" w:color="auto"/>
        <w:left w:val="none" w:sz="0" w:space="0" w:color="auto"/>
        <w:bottom w:val="none" w:sz="0" w:space="0" w:color="auto"/>
        <w:right w:val="none" w:sz="0" w:space="0" w:color="auto"/>
      </w:divBdr>
      <w:divsChild>
        <w:div w:id="1224221601">
          <w:marLeft w:val="0"/>
          <w:marRight w:val="0"/>
          <w:marTop w:val="0"/>
          <w:marBottom w:val="0"/>
          <w:divBdr>
            <w:top w:val="none" w:sz="0" w:space="0" w:color="auto"/>
            <w:left w:val="none" w:sz="0" w:space="0" w:color="auto"/>
            <w:bottom w:val="none" w:sz="0" w:space="0" w:color="auto"/>
            <w:right w:val="none" w:sz="0" w:space="0" w:color="auto"/>
          </w:divBdr>
          <w:divsChild>
            <w:div w:id="1356270027">
              <w:marLeft w:val="0"/>
              <w:marRight w:val="0"/>
              <w:marTop w:val="0"/>
              <w:marBottom w:val="0"/>
              <w:divBdr>
                <w:top w:val="none" w:sz="0" w:space="0" w:color="auto"/>
                <w:left w:val="none" w:sz="0" w:space="0" w:color="auto"/>
                <w:bottom w:val="none" w:sz="0" w:space="0" w:color="auto"/>
                <w:right w:val="none" w:sz="0" w:space="0" w:color="auto"/>
              </w:divBdr>
              <w:divsChild>
                <w:div w:id="1625649892">
                  <w:marLeft w:val="0"/>
                  <w:marRight w:val="0"/>
                  <w:marTop w:val="0"/>
                  <w:marBottom w:val="0"/>
                  <w:divBdr>
                    <w:top w:val="none" w:sz="0" w:space="0" w:color="auto"/>
                    <w:left w:val="none" w:sz="0" w:space="0" w:color="auto"/>
                    <w:bottom w:val="none" w:sz="0" w:space="0" w:color="auto"/>
                    <w:right w:val="none" w:sz="0" w:space="0" w:color="auto"/>
                  </w:divBdr>
                  <w:divsChild>
                    <w:div w:id="1981037024">
                      <w:marLeft w:val="0"/>
                      <w:marRight w:val="0"/>
                      <w:marTop w:val="0"/>
                      <w:marBottom w:val="0"/>
                      <w:divBdr>
                        <w:top w:val="none" w:sz="0" w:space="0" w:color="auto"/>
                        <w:left w:val="none" w:sz="0" w:space="0" w:color="auto"/>
                        <w:bottom w:val="none" w:sz="0" w:space="0" w:color="auto"/>
                        <w:right w:val="none" w:sz="0" w:space="0" w:color="auto"/>
                      </w:divBdr>
                      <w:divsChild>
                        <w:div w:id="496307861">
                          <w:marLeft w:val="0"/>
                          <w:marRight w:val="0"/>
                          <w:marTop w:val="0"/>
                          <w:marBottom w:val="0"/>
                          <w:divBdr>
                            <w:top w:val="none" w:sz="0" w:space="0" w:color="auto"/>
                            <w:left w:val="none" w:sz="0" w:space="0" w:color="auto"/>
                            <w:bottom w:val="none" w:sz="0" w:space="0" w:color="auto"/>
                            <w:right w:val="none" w:sz="0" w:space="0" w:color="auto"/>
                          </w:divBdr>
                          <w:divsChild>
                            <w:div w:id="2789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33016">
      <w:bodyDiv w:val="1"/>
      <w:marLeft w:val="0"/>
      <w:marRight w:val="0"/>
      <w:marTop w:val="0"/>
      <w:marBottom w:val="0"/>
      <w:divBdr>
        <w:top w:val="none" w:sz="0" w:space="0" w:color="auto"/>
        <w:left w:val="none" w:sz="0" w:space="0" w:color="auto"/>
        <w:bottom w:val="none" w:sz="0" w:space="0" w:color="auto"/>
        <w:right w:val="none" w:sz="0" w:space="0" w:color="auto"/>
      </w:divBdr>
    </w:div>
    <w:div w:id="1903979096">
      <w:bodyDiv w:val="1"/>
      <w:marLeft w:val="0"/>
      <w:marRight w:val="0"/>
      <w:marTop w:val="0"/>
      <w:marBottom w:val="0"/>
      <w:divBdr>
        <w:top w:val="none" w:sz="0" w:space="0" w:color="auto"/>
        <w:left w:val="none" w:sz="0" w:space="0" w:color="auto"/>
        <w:bottom w:val="none" w:sz="0" w:space="0" w:color="auto"/>
        <w:right w:val="none" w:sz="0" w:space="0" w:color="auto"/>
      </w:divBdr>
    </w:div>
    <w:div w:id="1916551090">
      <w:bodyDiv w:val="1"/>
      <w:marLeft w:val="0"/>
      <w:marRight w:val="0"/>
      <w:marTop w:val="0"/>
      <w:marBottom w:val="0"/>
      <w:divBdr>
        <w:top w:val="none" w:sz="0" w:space="0" w:color="auto"/>
        <w:left w:val="none" w:sz="0" w:space="0" w:color="auto"/>
        <w:bottom w:val="none" w:sz="0" w:space="0" w:color="auto"/>
        <w:right w:val="none" w:sz="0" w:space="0" w:color="auto"/>
      </w:divBdr>
    </w:div>
    <w:div w:id="202220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40F190-EE75-4383-AEFC-81A4A1B1C350}">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2F95287-13D4-47D7-AEF0-954D5810D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2636</TotalTime>
  <Pages>15</Pages>
  <Words>5285</Words>
  <Characters>95936</Characters>
  <Application>Microsoft Office Word</Application>
  <DocSecurity>0</DocSecurity>
  <Lines>799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Notani, Mohammad Ali</dc:creator>
  <cp:keywords/>
  <dc:description/>
  <cp:lastModifiedBy>Mohammad Ali Notani</cp:lastModifiedBy>
  <cp:revision>35</cp:revision>
  <dcterms:created xsi:type="dcterms:W3CDTF">2025-10-05T04:13:00Z</dcterms:created>
  <dcterms:modified xsi:type="dcterms:W3CDTF">2026-08-04T17:17:00Z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http://www.zotero.org/styles/chicago-note-bibliography</vt:lpwstr>
  </property>
  <property fmtid="{D5CDD505-2E9C-101B-9397-08002B2CF9AE}" pid="15" name="Mendeley Recent Style Name 6_1">
    <vt:lpwstr>Chicago Manual of Style 17th edition (note)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1560cb51-824a-3446-abd2-afd4569c8289</vt:lpwstr>
  </property>
  <property fmtid="{D5CDD505-2E9C-101B-9397-08002B2CF9AE}" pid="24" name="Mendeley Citation Style_1">
    <vt:lpwstr>http://www.zotero.org/styles/nature</vt:lpwstr>
  </property>
  <property fmtid="{D5CDD505-2E9C-101B-9397-08002B2CF9AE}" pid="25" name="GrammarlyDocumentId">
    <vt:lpwstr>51390af75bd6b1d19f6f26dedb124d4f05596e1d740da0e305e8c548fb59c683</vt:lpwstr>
  </property>
</Properties>
</file>