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0468" w14:textId="77777777" w:rsidR="00BC4A3E" w:rsidRPr="00BC4A3E" w:rsidRDefault="00377B45" w:rsidP="00BC4A3E">
      <w:pPr>
        <w:spacing w:after="0"/>
        <w:jc w:val="center"/>
        <w:rPr>
          <w:color w:val="000000" w:themeColor="text1"/>
          <w:sz w:val="28"/>
          <w:szCs w:val="28"/>
        </w:rPr>
      </w:pPr>
      <w:r w:rsidRPr="00BC4A3E">
        <w:rPr>
          <w:color w:val="000000" w:themeColor="text1"/>
          <w:sz w:val="28"/>
          <w:szCs w:val="28"/>
        </w:rPr>
        <w:t>A Theoretical Sim-to-Real Transfer Framework for Deep Reinforcement Learning in Autonomous Spacecraft Attitude Control</w:t>
      </w:r>
    </w:p>
    <w:p w14:paraId="12D3F86F" w14:textId="77777777" w:rsidR="00BC4A3E" w:rsidRDefault="00BC4A3E" w:rsidP="00BC4A3E">
      <w:pPr>
        <w:spacing w:after="0"/>
        <w:jc w:val="center"/>
        <w:rPr>
          <w:color w:val="000000" w:themeColor="text1"/>
        </w:rPr>
      </w:pPr>
    </w:p>
    <w:p w14:paraId="7BF02EE8" w14:textId="394D7B7C" w:rsidR="00BC4A3E" w:rsidRDefault="00BC4A3E" w:rsidP="00BC4A3E">
      <w:pPr>
        <w:spacing w:after="0"/>
        <w:jc w:val="center"/>
      </w:pPr>
      <w:r w:rsidRPr="00BC4A3E">
        <w:rPr>
          <w:b/>
          <w:bCs/>
        </w:rPr>
        <w:t xml:space="preserve"> </w:t>
      </w:r>
      <w:r w:rsidRPr="005E2012">
        <w:rPr>
          <w:b/>
          <w:bCs/>
        </w:rPr>
        <w:t xml:space="preserve">M. </w:t>
      </w:r>
      <w:proofErr w:type="spellStart"/>
      <w:r w:rsidRPr="005E2012">
        <w:rPr>
          <w:b/>
          <w:bCs/>
        </w:rPr>
        <w:t>Elfarran</w:t>
      </w:r>
      <w:proofErr w:type="spellEnd"/>
      <w:r>
        <w:t xml:space="preserve">, </w:t>
      </w:r>
      <w:r w:rsidRPr="005E2012">
        <w:rPr>
          <w:b/>
          <w:bCs/>
        </w:rPr>
        <w:t>H. Ahmed</w:t>
      </w:r>
      <w:r>
        <w:t xml:space="preserve">, </w:t>
      </w:r>
      <w:r w:rsidRPr="005E2012">
        <w:rPr>
          <w:b/>
          <w:bCs/>
        </w:rPr>
        <w:t xml:space="preserve">A. Aboul </w:t>
      </w:r>
      <w:proofErr w:type="spellStart"/>
      <w:r w:rsidRPr="005E2012">
        <w:rPr>
          <w:b/>
          <w:bCs/>
        </w:rPr>
        <w:t>foutouh</w:t>
      </w:r>
      <w:proofErr w:type="spellEnd"/>
    </w:p>
    <w:p w14:paraId="48447457" w14:textId="77777777" w:rsidR="00BC4A3E" w:rsidRPr="0058374D" w:rsidRDefault="00BC4A3E" w:rsidP="00BC4A3E">
      <w:pPr>
        <w:spacing w:after="0"/>
        <w:jc w:val="center"/>
        <w:rPr>
          <w:lang w:bidi="ar-EG"/>
        </w:rPr>
      </w:pPr>
      <w:r w:rsidRPr="005E2012">
        <w:rPr>
          <w:b/>
          <w:bCs/>
        </w:rPr>
        <w:t>Associate Professor, Faculty of Navigation Science and Space Technology, Beni Suef University</w:t>
      </w:r>
      <w:r>
        <w:br/>
        <w:t xml:space="preserve"> </w:t>
      </w:r>
      <w:r w:rsidRPr="005E2012">
        <w:rPr>
          <w:b/>
          <w:bCs/>
        </w:rPr>
        <w:t>Researcher Candidate in Faculty of Navigation Science and Space Technology, Beni Suef University</w:t>
      </w:r>
    </w:p>
    <w:p w14:paraId="6D75C20D" w14:textId="05300367" w:rsidR="001A2E43" w:rsidRPr="006E1C7B" w:rsidRDefault="001A2E43" w:rsidP="006E1C7B">
      <w:pPr>
        <w:pStyle w:val="Title"/>
        <w:jc w:val="center"/>
        <w:rPr>
          <w:color w:val="000000" w:themeColor="text1"/>
        </w:rPr>
      </w:pPr>
    </w:p>
    <w:p w14:paraId="59A262F5" w14:textId="77777777" w:rsidR="001A2E43" w:rsidRPr="006E76FF" w:rsidRDefault="00377B45">
      <w:pPr>
        <w:pStyle w:val="Heading1"/>
        <w:rPr>
          <w:color w:val="4F81BD" w:themeColor="accent1"/>
        </w:rPr>
      </w:pPr>
      <w:r w:rsidRPr="071E9FE1">
        <w:rPr>
          <w:color w:val="4F81BD" w:themeColor="accent1"/>
        </w:rPr>
        <w:t>Abstract</w:t>
      </w:r>
    </w:p>
    <w:p w14:paraId="41C87093" w14:textId="2E056568" w:rsidR="2E37B8F4" w:rsidRDefault="2E37B8F4" w:rsidP="071E9FE1">
      <w:pPr>
        <w:spacing w:before="240" w:after="240"/>
      </w:pPr>
      <w:r w:rsidRPr="071E9FE1">
        <w:rPr>
          <w:rFonts w:ascii="Cambria" w:eastAsia="Cambria" w:hAnsi="Cambria" w:cs="Cambria"/>
        </w:rPr>
        <w:t>Deep Reinforcement Learning (DRL) has demonstrated promising performance for spacecraft attitude control in simulation environments. However, the transition from simulation-trained policies to real spacecraft operation remains limited due to modeling uncertainties, safety constraints, and certification requirements. This paper proposes a structured theoretical Sim-to-Real transfer framework for DRL-based spacecraft Attitude Determination and Control Systems (ADCS).</w:t>
      </w:r>
    </w:p>
    <w:p w14:paraId="4F46DBAF" w14:textId="5A4DAA07" w:rsidR="2E37B8F4" w:rsidRDefault="2E37B8F4" w:rsidP="071E9FE1">
      <w:pPr>
        <w:spacing w:before="240" w:after="240"/>
      </w:pPr>
      <w:r w:rsidRPr="071E9FE1">
        <w:rPr>
          <w:rFonts w:ascii="Cambria" w:eastAsia="Cambria" w:hAnsi="Cambria" w:cs="Cambria"/>
        </w:rPr>
        <w:t>The spacecraft's rotational dynamics are formulated as a nonlinear control system, and the learning objective is defined under bounded control and safety constraints. The proposed architecture integrates seven coordinated modules, including nominal dynamic modeling, domain randomization, sensor and actuator realism modeling, robustness-oriented policy training, a Safety and Certification Envelope, bounded post-deployment adaptation, and onboard runtime supervision. The Safety Envelope is formalized as a constrained control set with projection-based action filtering, while parameter adaptation is restricted within bounded update limits to preserve certification assumptions.</w:t>
      </w:r>
    </w:p>
    <w:p w14:paraId="66637EB8" w14:textId="58889BF3" w:rsidR="2E37B8F4" w:rsidRDefault="2E37B8F4" w:rsidP="071E9FE1">
      <w:pPr>
        <w:spacing w:before="240" w:after="240"/>
        <w:rPr>
          <w:rFonts w:ascii="Cambria" w:eastAsia="Cambria" w:hAnsi="Cambria" w:cs="Cambria"/>
        </w:rPr>
      </w:pPr>
      <w:r w:rsidRPr="071E9FE1">
        <w:rPr>
          <w:rFonts w:ascii="Cambria" w:eastAsia="Cambria" w:hAnsi="Cambria" w:cs="Cambria"/>
        </w:rPr>
        <w:t>The resulting system can be interpreted as a constrained adaptive nonlinear closed-loop control architecture that ensures bounded-input bounded-state behavior under operational limits. Rather than introducing a new learning algorithm, this work contributes a certification-aware architectural framework that bridges reinforcement learning and aerospace assurance principles. The proposed design establishes a rigorous foundation for future simulation-based, hardware-in-the-loop, and operational validation of learning-enabled spacecraft autonomy.</w:t>
      </w:r>
    </w:p>
    <w:p w14:paraId="53643625" w14:textId="77777777" w:rsidR="00A464E8" w:rsidRPr="00A464E8" w:rsidRDefault="00A464E8" w:rsidP="00A464E8">
      <w:pPr>
        <w:spacing w:before="240" w:after="240"/>
        <w:rPr>
          <w:rFonts w:ascii="Cambria" w:eastAsia="Cambria" w:hAnsi="Cambria" w:cs="Cambria"/>
        </w:rPr>
      </w:pPr>
      <w:r>
        <w:rPr>
          <w:rFonts w:ascii="Cambria" w:eastAsia="Cambria" w:hAnsi="Cambria" w:cs="Cambria"/>
        </w:rPr>
        <w:t xml:space="preserve">Keywords: </w:t>
      </w:r>
      <w:r w:rsidRPr="00A464E8">
        <w:rPr>
          <w:rFonts w:ascii="Cambria" w:eastAsia="Cambria" w:hAnsi="Cambria" w:cs="Cambria"/>
        </w:rPr>
        <w:t>Deep Reinforcement Learning; Sim-to-Real Transfer; Spacecraft Attitude Control; Safety-Constrained Control; Domain Randomization; Certification-Aware AI; Robust Adaptive Control; Autonomous Spacecraft Systems.</w:t>
      </w:r>
    </w:p>
    <w:p w14:paraId="3887FD4D" w14:textId="467E0EE5" w:rsidR="00A464E8" w:rsidRDefault="00A464E8" w:rsidP="071E9FE1">
      <w:pPr>
        <w:spacing w:before="240" w:after="240"/>
      </w:pPr>
    </w:p>
    <w:p w14:paraId="702ACDA5" w14:textId="2B7D74ED" w:rsidR="00412BE4" w:rsidRPr="00412BE4" w:rsidRDefault="00412BE4" w:rsidP="00412BE4">
      <w:pPr>
        <w:rPr>
          <w:b/>
          <w:bCs/>
          <w:color w:val="4F81BD" w:themeColor="accent1"/>
          <w:sz w:val="28"/>
          <w:szCs w:val="28"/>
        </w:rPr>
      </w:pPr>
      <w:r w:rsidRPr="00412BE4">
        <w:rPr>
          <w:b/>
          <w:bCs/>
          <w:color w:val="4F81BD" w:themeColor="accent1"/>
          <w:sz w:val="28"/>
          <w:szCs w:val="28"/>
        </w:rPr>
        <w:t>1. Introduction</w:t>
      </w:r>
    </w:p>
    <w:p w14:paraId="2ED869E1" w14:textId="542730F0" w:rsidR="00412BE4" w:rsidRPr="00412BE4" w:rsidRDefault="00412BE4" w:rsidP="00412BE4">
      <w:r w:rsidRPr="00412BE4">
        <w:lastRenderedPageBreak/>
        <w:t>Spacecraft attitude determination and control have historically been addressed using model-based control strategies, including proportional–derivative (PD) controllers, linear quadratic regulators (LQR), and nonlinear techniques such as backstepping and sliding-mode control. These approaches form the backbone of operational spacecraft control due to their analytical tractability, stability guarantees, and compatibility with aerospace certification standards. However, their effectiveness relies heavily on accurate system modeling and manual gain tuning, which limits adaptability under parameter uncertainty, actuator degradation, environmental disturbances, and evolving mission conditions.</w:t>
      </w:r>
    </w:p>
    <w:p w14:paraId="486AC44B" w14:textId="36B86D2C" w:rsidR="00412BE4" w:rsidRPr="00412BE4" w:rsidRDefault="0076031E" w:rsidP="00412BE4">
      <w:r w:rsidRPr="0076031E">
        <w:t>Deep Reinforcement Learning (DRL) has recently emerged as a promising model-free control paradigm for spacecraft Attitude Determination and Control Systems (ADCS). Numerous studies have demonstrated the feasibility of DRL-based controllers for attitude stabilization and maneuvering in simulation, highlighting their ability to handle nonlinear dynamics, uncertainties, and fault scenarios [1–3]. By learning control policies directly from interaction data, DRL reduces reliance on precise analytical modeling and manual controller design. Despite these advances, the transition from simulation-based validation to real spacecraft operation remains limited. More broadly, this limitation reflects a well-recognized Sim-to-Real transfer challenge in reinforcement learning, where discrepancies between simulated and real environments often lead to degraded performance during deployment [15–18].</w:t>
      </w:r>
    </w:p>
    <w:p w14:paraId="6EEDD1BE" w14:textId="6A971B5C" w:rsidR="00412BE4" w:rsidRPr="00412BE4" w:rsidRDefault="00412BE4" w:rsidP="00412BE4">
      <w:r w:rsidRPr="00412BE4">
        <w:t>This limitation is primarily driven by the so-called reality gap, which arises from discrepancies between idealized simulation assumptions and the stochastic, uncertain nature of physical spacecraft systems [4]. Real spacecraft operate under imperfect sensing, actuator nonlinearities, time delays, environmental disturbances, and evolving system parameters such as mass and inertia. DRL controllers trained under nominal simulation conditions often exhibit degraded performance or instability when exposed to these effects, significantly limiting their suitability for operational missions [4,5]. As a result, most DRL-based spacecraft control studies remain confined to simulation environments and do not provide a clear pathway toward certified, flight-ready autonomy.</w:t>
      </w:r>
    </w:p>
    <w:p w14:paraId="393FD221" w14:textId="77A92A17" w:rsidR="00412BE4" w:rsidRPr="00412BE4" w:rsidRDefault="00412BE4" w:rsidP="00412BE4">
      <w:r w:rsidRPr="00412BE4">
        <w:t>Addressing this gap requires more than improved training performance; it demands a structured approach that explicitly considers robustness, safety assurance, adaptation, and certification constraints throughout the Sim-to-Real transfer process. Existing works typically address these challenges in isolation,</w:t>
      </w:r>
      <w:r>
        <w:rPr>
          <w:rFonts w:hint="cs"/>
          <w:rtl/>
        </w:rPr>
        <w:t xml:space="preserve"> </w:t>
      </w:r>
      <w:r w:rsidRPr="00412BE4">
        <w:t>for example</w:t>
      </w:r>
      <w:r>
        <w:rPr>
          <w:rFonts w:hint="cs"/>
          <w:rtl/>
        </w:rPr>
        <w:t>:</w:t>
      </w:r>
      <w:r w:rsidRPr="00412BE4">
        <w:t xml:space="preserve"> through domain randomization, fault-tolerant learning, or safety-constrained control</w:t>
      </w:r>
      <w:r>
        <w:rPr>
          <w:rFonts w:hint="cs"/>
          <w:rtl/>
        </w:rPr>
        <w:t xml:space="preserve"> </w:t>
      </w:r>
      <w:r w:rsidRPr="00412BE4">
        <w:t>but lack an integrated architectural perspective tailored to spacecraft systems.</w:t>
      </w:r>
    </w:p>
    <w:p w14:paraId="53AEDA67" w14:textId="0E7CDEC4" w:rsidR="00412BE4" w:rsidRPr="00412BE4" w:rsidRDefault="00412BE4" w:rsidP="00412BE4">
      <w:r w:rsidRPr="00412BE4">
        <w:t>This paper addresses this challenge by proposing a theoretical Sim-to-Real transfer framework specifically designed for DRL-based autonomous spacecraft attitude control. Rather than introducing a new learning algorithm or presenting experimental results, this work develops a structured, modular architecture that systematically bridges the gap between simulation-trained policies and real spacecraft operation. The proposed framework integrates robust-oriented training mechanisms, physically motivated realism modeling, safety and certification constraints, controlled post-deployment adaptation, and runtime supervision within a unified conceptual design.</w:t>
      </w:r>
    </w:p>
    <w:p w14:paraId="19D5B47C" w14:textId="2B58273B" w:rsidR="00412BE4" w:rsidRPr="00412BE4" w:rsidRDefault="00412BE4" w:rsidP="00412BE4">
      <w:pPr>
        <w:rPr>
          <w:b/>
          <w:bCs/>
          <w:sz w:val="24"/>
          <w:szCs w:val="24"/>
        </w:rPr>
      </w:pPr>
      <w:r w:rsidRPr="00412BE4">
        <w:rPr>
          <w:b/>
          <w:bCs/>
          <w:sz w:val="24"/>
          <w:szCs w:val="24"/>
        </w:rPr>
        <w:t>1.1 Contributions and Novelty</w:t>
      </w:r>
    </w:p>
    <w:p w14:paraId="33AEC39E" w14:textId="77777777" w:rsidR="0076031E" w:rsidRDefault="0076031E" w:rsidP="0076031E">
      <w:pPr>
        <w:contextualSpacing/>
      </w:pPr>
      <w:r>
        <w:lastRenderedPageBreak/>
        <w:t>This paper makes the following original theoretical contributions to the field of learning-based spacecraft attitude control and Sim-to-Real transfer:</w:t>
      </w:r>
    </w:p>
    <w:p w14:paraId="52935DA3" w14:textId="77777777" w:rsidR="0076031E" w:rsidRDefault="0076031E" w:rsidP="0076031E">
      <w:pPr>
        <w:contextualSpacing/>
      </w:pPr>
    </w:p>
    <w:p w14:paraId="7A7C1CDD" w14:textId="77777777" w:rsidR="0076031E" w:rsidRDefault="0076031E" w:rsidP="0076031E">
      <w:pPr>
        <w:pStyle w:val="ListParagraph"/>
        <w:numPr>
          <w:ilvl w:val="0"/>
          <w:numId w:val="14"/>
        </w:numPr>
      </w:pPr>
      <w:r>
        <w:t>Spacecraft-specific Sim-to-Real architecture</w:t>
      </w:r>
    </w:p>
    <w:p w14:paraId="3DB48B41" w14:textId="030B8F0B" w:rsidR="0076031E" w:rsidRDefault="0076031E" w:rsidP="0BA12A17">
      <w:pPr>
        <w:pStyle w:val="ListParagraph"/>
      </w:pPr>
      <w:r>
        <w:t>This work proposes the first spacecraft-tailored Sim-to-Real transfer framework for Deep Reinforcement Learning–based Attitude Determination and Control Systems (ADCS). Unlike generic robotics Sim-to-Real pipelines, the framework explicitly accounts for spacecraft dynamics, actuator constraints, sensing limitations, and mission-critical safety requirements.</w:t>
      </w:r>
    </w:p>
    <w:p w14:paraId="3019E183" w14:textId="637F4C39" w:rsidR="0BA12A17" w:rsidRDefault="0BA12A17" w:rsidP="0BA12A17">
      <w:pPr>
        <w:pStyle w:val="ListParagraph"/>
      </w:pPr>
    </w:p>
    <w:p w14:paraId="3EAAEE6B" w14:textId="5E56036E" w:rsidR="0076031E" w:rsidRDefault="0076031E" w:rsidP="0076031E">
      <w:pPr>
        <w:pStyle w:val="ListParagraph"/>
        <w:numPr>
          <w:ilvl w:val="0"/>
          <w:numId w:val="14"/>
        </w:numPr>
      </w:pPr>
      <w:r>
        <w:t>Modular decomposition enabling certification-aware reasoning</w:t>
      </w:r>
    </w:p>
    <w:p w14:paraId="3520322C" w14:textId="04E346C7" w:rsidR="0076031E" w:rsidRDefault="0076031E" w:rsidP="007074F8">
      <w:pPr>
        <w:pStyle w:val="ListParagraph"/>
      </w:pPr>
      <w:r>
        <w:t>The proposed seven-module architecture decomposes learning, robustness enhancement, realism modeling, safety enforcement, adaptation, and runtime supervision into clearly separated layers. This modularity enables principled reasoning about autonomy authority, verification boundaries, and certification pathway</w:t>
      </w:r>
      <w:r w:rsidR="00D9715E">
        <w:t xml:space="preserve"> </w:t>
      </w:r>
      <w:r>
        <w:t>an aspect largely absent from existing DRL spacecraft control literature.</w:t>
      </w:r>
    </w:p>
    <w:p w14:paraId="28ADA427" w14:textId="77777777" w:rsidR="007074F8" w:rsidRDefault="007074F8" w:rsidP="007074F8">
      <w:pPr>
        <w:pStyle w:val="ListParagraph"/>
      </w:pPr>
    </w:p>
    <w:p w14:paraId="20211B10" w14:textId="3BDC7DE0" w:rsidR="0076031E" w:rsidRDefault="0076031E" w:rsidP="007074F8">
      <w:pPr>
        <w:pStyle w:val="ListParagraph"/>
        <w:numPr>
          <w:ilvl w:val="0"/>
          <w:numId w:val="14"/>
        </w:numPr>
      </w:pPr>
      <w:r>
        <w:t>Explicit integration of aerospace safety and assurance standards into Sim-to-Real design</w:t>
      </w:r>
      <w:r w:rsidR="007074F8">
        <w:t xml:space="preserve"> </w:t>
      </w:r>
      <w:r>
        <w:t>Unlike prior DRL-based spacecraft control studies that focus primarily on performance, this work embeds safety and certification considerations aligned with ECSS-Q-80, NASA system safety principles, and emerging AI assurance frameworks directly into the control architecture. This positions the framework as a bridge between learning-based control and flight-certifiable spacecraft software.</w:t>
      </w:r>
    </w:p>
    <w:p w14:paraId="336046E9" w14:textId="77777777" w:rsidR="007074F8" w:rsidRDefault="007074F8" w:rsidP="007074F8">
      <w:pPr>
        <w:pStyle w:val="ListParagraph"/>
      </w:pPr>
    </w:p>
    <w:p w14:paraId="31180403" w14:textId="77777777" w:rsidR="0076031E" w:rsidRDefault="0076031E" w:rsidP="0076031E">
      <w:pPr>
        <w:pStyle w:val="ListParagraph"/>
        <w:numPr>
          <w:ilvl w:val="0"/>
          <w:numId w:val="14"/>
        </w:numPr>
      </w:pPr>
      <w:r>
        <w:t>Unification of robustness, safety, and adaptation within a single Sim-to-Real pipeline</w:t>
      </w:r>
    </w:p>
    <w:p w14:paraId="2B139C86" w14:textId="0F8D32DD" w:rsidR="0076031E" w:rsidRDefault="0076031E" w:rsidP="007074F8">
      <w:pPr>
        <w:pStyle w:val="ListParagraph"/>
      </w:pPr>
      <w:r>
        <w:t>Existing approaches typically address robustness (e.g., domain randomization), safety (e.g., constrained learning), or adaptation in isolation. This paper presents a unified theoretical architecture that integrates these elements coherently, enabling systematic mitigation of the simulation-to-reality gap rather than ad hoc enhancements.</w:t>
      </w:r>
    </w:p>
    <w:p w14:paraId="07DACDB1" w14:textId="77777777" w:rsidR="007074F8" w:rsidRDefault="007074F8" w:rsidP="007074F8">
      <w:pPr>
        <w:pStyle w:val="ListParagraph"/>
      </w:pPr>
    </w:p>
    <w:p w14:paraId="2A688012" w14:textId="77777777" w:rsidR="0076031E" w:rsidRDefault="0076031E" w:rsidP="0076031E">
      <w:pPr>
        <w:pStyle w:val="ListParagraph"/>
        <w:numPr>
          <w:ilvl w:val="0"/>
          <w:numId w:val="14"/>
        </w:numPr>
      </w:pPr>
      <w:r>
        <w:t>Separation of learning authority from safety-critical control execution</w:t>
      </w:r>
    </w:p>
    <w:p w14:paraId="30E6490C" w14:textId="7011A909" w:rsidR="0076031E" w:rsidRDefault="0076031E" w:rsidP="007074F8">
      <w:pPr>
        <w:pStyle w:val="ListParagraph"/>
      </w:pPr>
      <w:r>
        <w:t>The framework introduces a clear separation between DRL policy learning and deterministic safety enforcement through a dedicated safety and certification envelope. This architectural decision enables learning-based controllers to enhance performance while preserving the predictability and bounded behavior required for safety-critical spacecraft operations.</w:t>
      </w:r>
    </w:p>
    <w:p w14:paraId="2A6E1056" w14:textId="77777777" w:rsidR="007074F8" w:rsidRDefault="007074F8" w:rsidP="007074F8">
      <w:pPr>
        <w:pStyle w:val="ListParagraph"/>
      </w:pPr>
    </w:p>
    <w:p w14:paraId="0D8D0ED7" w14:textId="77777777" w:rsidR="0076031E" w:rsidRDefault="0076031E" w:rsidP="0076031E">
      <w:pPr>
        <w:pStyle w:val="ListParagraph"/>
        <w:numPr>
          <w:ilvl w:val="0"/>
          <w:numId w:val="14"/>
        </w:numPr>
      </w:pPr>
      <w:r>
        <w:t>Controlled post-deployment adaptation under safety supervision</w:t>
      </w:r>
    </w:p>
    <w:p w14:paraId="61818F4D" w14:textId="5B757733" w:rsidR="0076031E" w:rsidRDefault="0076031E" w:rsidP="007074F8">
      <w:pPr>
        <w:pStyle w:val="ListParagraph"/>
      </w:pPr>
      <w:r>
        <w:t>The proposed transfer adaptation module provides a theoretically grounded mechanism for limited, safety-supervised post-deployment refinement. This enables long-duration spacecraft missions to maintain control performance under slow-varying uncertainties without violating certification assumptions or introducing uncontrolled online learning.</w:t>
      </w:r>
    </w:p>
    <w:p w14:paraId="51A30B4A" w14:textId="77777777" w:rsidR="007074F8" w:rsidRDefault="007074F8" w:rsidP="007074F8">
      <w:pPr>
        <w:pStyle w:val="ListParagraph"/>
      </w:pPr>
    </w:p>
    <w:p w14:paraId="1783837E" w14:textId="203C19D9" w:rsidR="00412BE4" w:rsidRPr="007074F8" w:rsidRDefault="0076031E" w:rsidP="007074F8">
      <w:pPr>
        <w:pStyle w:val="ListParagraph"/>
        <w:numPr>
          <w:ilvl w:val="0"/>
          <w:numId w:val="14"/>
        </w:numPr>
      </w:pPr>
      <w:r>
        <w:t>A theoretical evaluation framework and numerical performance baseline for future studies</w:t>
      </w:r>
      <w:r w:rsidR="007074F8">
        <w:t xml:space="preserve"> </w:t>
      </w:r>
      <w:r>
        <w:t xml:space="preserve">Rather than presenting isolated numerical results, this work establishes a structured </w:t>
      </w:r>
      <w:r>
        <w:lastRenderedPageBreak/>
        <w:t>theoretical evaluation methodology and literature-based numerical performance baselines. This provides a consistent reference against which future simulation-based and experimental implementations of Sim-to-Real DRL spacecraft controllers can be rigorously compared.</w:t>
      </w:r>
    </w:p>
    <w:p w14:paraId="6BE582A8" w14:textId="3DAC06E3" w:rsidR="0BA12A17" w:rsidRDefault="0BA12A17" w:rsidP="0BA12A17"/>
    <w:p w14:paraId="3ED5C34D" w14:textId="18C77E1E" w:rsidR="20F25C7F" w:rsidRDefault="20F25C7F" w:rsidP="0BA12A17">
      <w:pPr>
        <w:rPr>
          <w:b/>
          <w:bCs/>
          <w:color w:val="4F81BD" w:themeColor="accent1"/>
          <w:sz w:val="28"/>
          <w:szCs w:val="28"/>
          <w:rtl/>
        </w:rPr>
      </w:pPr>
      <w:r w:rsidRPr="0BA12A17">
        <w:rPr>
          <w:b/>
          <w:bCs/>
          <w:color w:val="4F81BD" w:themeColor="accent1"/>
          <w:sz w:val="28"/>
          <w:szCs w:val="28"/>
        </w:rPr>
        <w:t>2. Problem Formulation</w:t>
      </w:r>
    </w:p>
    <w:p w14:paraId="775DF6DF" w14:textId="0CBAB5FB" w:rsidR="0D9B9A38" w:rsidRDefault="0D9B9A38" w:rsidP="0BA12A17">
      <w:pPr>
        <w:rPr>
          <w:rFonts w:ascii="Cambria" w:eastAsia="Cambria" w:hAnsi="Cambria" w:cs="Cambria"/>
        </w:rPr>
      </w:pPr>
      <w:r w:rsidRPr="0BA12A17">
        <w:rPr>
          <w:rFonts w:ascii="Cambria" w:eastAsia="Cambria" w:hAnsi="Cambria" w:cs="Cambria"/>
        </w:rPr>
        <w:t>Consider a rigid-body spacecraft described by nonlinear rotational dynamics:</w:t>
      </w:r>
    </w:p>
    <w:p w14:paraId="1D742B09" w14:textId="36EA8156" w:rsidR="0BA12A17" w:rsidRDefault="00000000" w:rsidP="0BA12A17">
      <w:pPr>
        <w:jc w:val="center"/>
      </w:pPr>
      <m:oMathPara>
        <m:oMath>
          <m:acc>
            <m:accPr>
              <m:chr m:val="̇"/>
              <m:ctrlPr>
                <w:rPr>
                  <w:rFonts w:ascii="Cambria Math" w:hAnsi="Cambria Math"/>
                </w:rPr>
              </m:ctrlPr>
            </m:accPr>
            <m:e>
              <m:r>
                <w:rPr>
                  <w:rFonts w:ascii="Cambria Math" w:hAnsi="Cambria Math"/>
                </w:rPr>
                <m:t>q</m:t>
              </m:r>
            </m:e>
          </m:acc>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Ω</m:t>
          </m:r>
          <m:d>
            <m:dPr>
              <m:ctrlPr>
                <w:rPr>
                  <w:rFonts w:ascii="Cambria Math" w:hAnsi="Cambria Math"/>
                </w:rPr>
              </m:ctrlPr>
            </m:dPr>
            <m:e>
              <m:r>
                <w:rPr>
                  <w:rFonts w:ascii="Cambria Math" w:hAnsi="Cambria Math"/>
                </w:rPr>
                <m:t>ω</m:t>
              </m:r>
            </m:e>
          </m:d>
          <m:r>
            <w:rPr>
              <w:rFonts w:ascii="Cambria Math" w:hAnsi="Cambria Math"/>
            </w:rPr>
            <m:t>q</m:t>
          </m:r>
        </m:oMath>
      </m:oMathPara>
    </w:p>
    <w:p w14:paraId="7BF1903B" w14:textId="21E84992" w:rsidR="0BA12A17" w:rsidRDefault="0BA12A17" w:rsidP="0BA12A17">
      <w:pPr>
        <w:jc w:val="center"/>
      </w:pPr>
      <m:oMathPara>
        <m:oMath>
          <m:r>
            <w:rPr>
              <w:rFonts w:ascii="Cambria Math" w:hAnsi="Cambria Math"/>
            </w:rPr>
            <m:t>J</m:t>
          </m:r>
          <m:acc>
            <m:accPr>
              <m:chr m:val="̇"/>
              <m:ctrlPr>
                <w:rPr>
                  <w:rFonts w:ascii="Cambria Math" w:hAnsi="Cambria Math"/>
                </w:rPr>
              </m:ctrlPr>
            </m:accPr>
            <m:e>
              <m:r>
                <w:rPr>
                  <w:rFonts w:ascii="Cambria Math" w:hAnsi="Cambria Math"/>
                </w:rPr>
                <m:t>ω</m:t>
              </m:r>
            </m:e>
          </m:acc>
          <m:r>
            <w:rPr>
              <w:rFonts w:ascii="Cambria Math" w:hAnsi="Cambria Math"/>
            </w:rPr>
            <m:t>+ω×</m:t>
          </m:r>
          <m:d>
            <m:dPr>
              <m:ctrlPr>
                <w:rPr>
                  <w:rFonts w:ascii="Cambria Math" w:hAnsi="Cambria Math"/>
                </w:rPr>
              </m:ctrlPr>
            </m:dPr>
            <m:e>
              <m:r>
                <w:rPr>
                  <w:rFonts w:ascii="Cambria Math" w:hAnsi="Cambria Math"/>
                </w:rPr>
                <m:t>Jω</m:t>
              </m:r>
            </m:e>
          </m:d>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d</m:t>
              </m:r>
            </m:sub>
          </m:sSub>
        </m:oMath>
      </m:oMathPara>
    </w:p>
    <w:p w14:paraId="64B77E02" w14:textId="780CFF48" w:rsidR="24FAB52B" w:rsidRDefault="24FAB52B" w:rsidP="0BA12A17">
      <w:pPr>
        <w:rPr>
          <w:rFonts w:ascii="Cambria" w:eastAsia="Cambria" w:hAnsi="Cambria" w:cs="Cambria"/>
        </w:rPr>
      </w:pPr>
      <w:r w:rsidRPr="0BA12A17">
        <w:rPr>
          <w:rFonts w:ascii="Cambria" w:eastAsia="Cambria" w:hAnsi="Cambria" w:cs="Cambria"/>
        </w:rPr>
        <w:t>Where:</w:t>
      </w:r>
    </w:p>
    <w:p w14:paraId="4B971E14" w14:textId="51F539F4" w:rsidR="0BA12A17" w:rsidRDefault="0BA12A17" w:rsidP="0BA12A17">
      <w:pPr>
        <w:pStyle w:val="ListParagraph"/>
        <w:numPr>
          <w:ilvl w:val="0"/>
          <w:numId w:val="3"/>
        </w:numPr>
        <w:rPr>
          <w:rFonts w:ascii="Cambria" w:eastAsia="Cambria" w:hAnsi="Cambria" w:cs="Cambria"/>
        </w:rPr>
      </w:pPr>
      <m:oMath>
        <m:r>
          <w:rPr>
            <w:rFonts w:ascii="Cambria Math" w:hAnsi="Cambria Math"/>
          </w:rPr>
          <m:t>q∈</m:t>
        </m:r>
        <m:sSup>
          <m:sSupPr>
            <m:ctrlPr>
              <w:rPr>
                <w:rFonts w:ascii="Cambria Math" w:hAnsi="Cambria Math"/>
              </w:rPr>
            </m:ctrlPr>
          </m:sSupPr>
          <m:e>
            <m:r>
              <m:rPr>
                <m:scr m:val="double-struck"/>
              </m:rPr>
              <w:rPr>
                <w:rFonts w:ascii="Cambria Math" w:hAnsi="Cambria Math"/>
              </w:rPr>
              <m:t>R</m:t>
            </m:r>
          </m:e>
          <m:sup>
            <m:r>
              <w:rPr>
                <w:rFonts w:ascii="Cambria Math" w:hAnsi="Cambria Math"/>
              </w:rPr>
              <m:t>4</m:t>
            </m:r>
          </m:sup>
        </m:sSup>
      </m:oMath>
      <w:r w:rsidR="672420B4" w:rsidRPr="0BA12A17">
        <w:rPr>
          <w:rFonts w:ascii="Cambria" w:eastAsia="Cambria" w:hAnsi="Cambria" w:cs="Cambria"/>
        </w:rPr>
        <w:t xml:space="preserve"> </w:t>
      </w:r>
      <w:r w:rsidR="7B1243A4" w:rsidRPr="0BA12A17">
        <w:rPr>
          <w:rFonts w:ascii="Cambria" w:eastAsia="Cambria" w:hAnsi="Cambria" w:cs="Cambria"/>
        </w:rPr>
        <w:t>is the attitude quaternion,</w:t>
      </w:r>
    </w:p>
    <w:p w14:paraId="135F69E7" w14:textId="2FF76B2E" w:rsidR="0BA12A17" w:rsidRDefault="0BA12A17" w:rsidP="0BA12A17">
      <w:pPr>
        <w:pStyle w:val="ListParagraph"/>
        <w:numPr>
          <w:ilvl w:val="0"/>
          <w:numId w:val="3"/>
        </w:numPr>
        <w:rPr>
          <w:rFonts w:ascii="Cambria" w:eastAsia="Cambria" w:hAnsi="Cambria" w:cs="Cambria"/>
        </w:rPr>
      </w:pPr>
      <m:oMath>
        <m:r>
          <w:rPr>
            <w:rFonts w:ascii="Cambria Math" w:hAnsi="Cambria Math"/>
          </w:rPr>
          <m:t>ω∈</m:t>
        </m:r>
        <m:sSup>
          <m:sSupPr>
            <m:ctrlPr>
              <w:rPr>
                <w:rFonts w:ascii="Cambria Math" w:hAnsi="Cambria Math"/>
              </w:rPr>
            </m:ctrlPr>
          </m:sSupPr>
          <m:e>
            <m:r>
              <m:rPr>
                <m:scr m:val="double-struck"/>
              </m:rPr>
              <w:rPr>
                <w:rFonts w:ascii="Cambria Math" w:hAnsi="Cambria Math"/>
              </w:rPr>
              <m:t>R</m:t>
            </m:r>
          </m:e>
          <m:sup>
            <m:r>
              <w:rPr>
                <w:rFonts w:ascii="Cambria Math" w:hAnsi="Cambria Math"/>
              </w:rPr>
              <m:t>3</m:t>
            </m:r>
          </m:sup>
        </m:sSup>
      </m:oMath>
      <w:r w:rsidR="7E390603" w:rsidRPr="0BA12A17">
        <w:rPr>
          <w:rFonts w:ascii="Cambria" w:eastAsia="Cambria" w:hAnsi="Cambria" w:cs="Cambria"/>
        </w:rPr>
        <w:t xml:space="preserve"> is the angular velocity vector,</w:t>
      </w:r>
    </w:p>
    <w:p w14:paraId="33026383" w14:textId="1556B08F" w:rsidR="0BA12A17" w:rsidRDefault="0BA12A17" w:rsidP="0BA12A17">
      <w:pPr>
        <w:pStyle w:val="ListParagraph"/>
        <w:numPr>
          <w:ilvl w:val="0"/>
          <w:numId w:val="3"/>
        </w:numPr>
        <w:rPr>
          <w:rFonts w:ascii="Cambria" w:eastAsia="Cambria" w:hAnsi="Cambria" w:cs="Cambria"/>
        </w:rPr>
      </w:pPr>
      <m:oMath>
        <m:r>
          <w:rPr>
            <w:rFonts w:ascii="Cambria Math" w:hAnsi="Cambria Math"/>
          </w:rPr>
          <m:t>J∈</m:t>
        </m:r>
        <m:sSup>
          <m:sSupPr>
            <m:ctrlPr>
              <w:rPr>
                <w:rFonts w:ascii="Cambria Math" w:hAnsi="Cambria Math"/>
              </w:rPr>
            </m:ctrlPr>
          </m:sSupPr>
          <m:e>
            <m:r>
              <m:rPr>
                <m:scr m:val="double-struck"/>
              </m:rPr>
              <w:rPr>
                <w:rFonts w:ascii="Cambria Math" w:hAnsi="Cambria Math"/>
              </w:rPr>
              <m:t>R</m:t>
            </m:r>
          </m:e>
          <m:sup>
            <m:r>
              <w:rPr>
                <w:rFonts w:ascii="Cambria Math" w:hAnsi="Cambria Math"/>
              </w:rPr>
              <m:t>3</m:t>
            </m:r>
          </m:sup>
        </m:sSup>
        <m:sSup>
          <m:sSupPr>
            <m:ctrlPr>
              <w:rPr>
                <w:rFonts w:ascii="Cambria Math" w:hAnsi="Cambria Math"/>
              </w:rPr>
            </m:ctrlPr>
          </m:sSupPr>
          <m:e>
            <m:r>
              <w:rPr>
                <w:rFonts w:ascii="Cambria Math" w:hAnsi="Cambria Math"/>
              </w:rPr>
              <m:t>ˣ</m:t>
            </m:r>
          </m:e>
          <m:sup>
            <m:r>
              <w:rPr>
                <w:rFonts w:ascii="Cambria Math" w:hAnsi="Cambria Math"/>
              </w:rPr>
              <m:t>3</m:t>
            </m:r>
          </m:sup>
        </m:sSup>
      </m:oMath>
      <w:r w:rsidR="776DF431">
        <w:t xml:space="preserve"> </w:t>
      </w:r>
      <w:r w:rsidR="776DF431" w:rsidRPr="0BA12A17">
        <w:rPr>
          <w:rFonts w:ascii="Cambria" w:eastAsia="Cambria" w:hAnsi="Cambria" w:cs="Cambria"/>
        </w:rPr>
        <w:t>is the inertia matrix,</w:t>
      </w:r>
    </w:p>
    <w:p w14:paraId="527D7B57" w14:textId="401FF969" w:rsidR="0BA12A17" w:rsidRDefault="00000000" w:rsidP="0BA12A17">
      <w:pPr>
        <w:pStyle w:val="ListParagraph"/>
        <w:numPr>
          <w:ilvl w:val="0"/>
          <w:numId w:val="3"/>
        </w:numPr>
        <w:rPr>
          <w:rFonts w:ascii="Cambria" w:eastAsia="Cambria" w:hAnsi="Cambria" w:cs="Cambria"/>
        </w:rPr>
      </w:pPr>
      <m:oMath>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3</m:t>
            </m:r>
          </m:sup>
        </m:sSup>
      </m:oMath>
      <w:r w:rsidR="29211801">
        <w:t xml:space="preserve"> </w:t>
      </w:r>
      <w:r w:rsidR="29211801" w:rsidRPr="0BA12A17">
        <w:rPr>
          <w:rFonts w:ascii="Cambria" w:eastAsia="Cambria" w:hAnsi="Cambria" w:cs="Cambria"/>
        </w:rPr>
        <w:t>is the control torque,</w:t>
      </w:r>
    </w:p>
    <w:p w14:paraId="7C7C7218" w14:textId="72F277C2" w:rsidR="0BA12A17" w:rsidRDefault="00000000" w:rsidP="0BA12A17">
      <w:pPr>
        <w:pStyle w:val="ListParagraph"/>
        <w:numPr>
          <w:ilvl w:val="0"/>
          <w:numId w:val="3"/>
        </w:numPr>
        <w:rPr>
          <w:rFonts w:ascii="Cambria" w:eastAsia="Cambria" w:hAnsi="Cambria" w:cs="Cambria"/>
        </w:rPr>
      </w:pPr>
      <m:oMath>
        <m:sSub>
          <m:sSubPr>
            <m:ctrlPr>
              <w:rPr>
                <w:rFonts w:ascii="Cambria Math" w:hAnsi="Cambria Math"/>
              </w:rPr>
            </m:ctrlPr>
          </m:sSubPr>
          <m:e>
            <m:r>
              <w:rPr>
                <w:rFonts w:ascii="Cambria Math" w:hAnsi="Cambria Math"/>
              </w:rPr>
              <m:t>τ</m:t>
            </m:r>
          </m:e>
          <m:sub>
            <m:r>
              <w:rPr>
                <w:rFonts w:ascii="Cambria Math" w:hAnsi="Cambria Math"/>
              </w:rPr>
              <m:t>d</m:t>
            </m:r>
          </m:sub>
        </m:sSub>
        <m: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3</m:t>
            </m:r>
          </m:sup>
        </m:sSup>
      </m:oMath>
      <w:r w:rsidR="0A61BF54">
        <w:t xml:space="preserve"> </w:t>
      </w:r>
      <w:r w:rsidR="0A61BF54" w:rsidRPr="0BA12A17">
        <w:rPr>
          <w:rFonts w:ascii="Cambria" w:eastAsia="Cambria" w:hAnsi="Cambria" w:cs="Cambria"/>
        </w:rPr>
        <w:t>represents disturbance torques.</w:t>
      </w:r>
    </w:p>
    <w:p w14:paraId="33069C79" w14:textId="609BB0EE" w:rsidR="6986BD74" w:rsidRDefault="6986BD74" w:rsidP="0BA12A17">
      <w:r w:rsidRPr="0BA12A17">
        <w:rPr>
          <w:rFonts w:ascii="Cambria" w:eastAsia="Cambria" w:hAnsi="Cambria" w:cs="Cambria"/>
        </w:rPr>
        <w:t xml:space="preserve">The control objective is to design a policy </w:t>
      </w:r>
      <m:oMath>
        <m:r>
          <w:rPr>
            <w:rFonts w:ascii="Cambria Math" w:hAnsi="Cambria Math"/>
          </w:rPr>
          <m:t>πθ​</m:t>
        </m:r>
        <m:d>
          <m:dPr>
            <m:ctrlPr>
              <w:rPr>
                <w:rFonts w:ascii="Cambria Math" w:hAnsi="Cambria Math"/>
              </w:rPr>
            </m:ctrlPr>
          </m:dPr>
          <m:e>
            <m:r>
              <w:rPr>
                <w:rFonts w:ascii="Cambria Math" w:hAnsi="Cambria Math"/>
              </w:rPr>
              <m:t>s</m:t>
            </m:r>
          </m:e>
        </m:d>
      </m:oMath>
      <w:r w:rsidRPr="0BA12A17">
        <w:rPr>
          <w:rFonts w:ascii="Cambria" w:eastAsia="Cambria" w:hAnsi="Cambria" w:cs="Cambria"/>
        </w:rPr>
        <w:t xml:space="preserve"> that maps the state</w:t>
      </w:r>
    </w:p>
    <w:p w14:paraId="4A553DDB" w14:textId="650C7AB9" w:rsidR="6986BD74" w:rsidRDefault="6986BD74" w:rsidP="0BA12A17">
      <w:pPr>
        <w:rPr>
          <w:rFonts w:ascii="Cambria" w:eastAsia="Cambria" w:hAnsi="Cambria" w:cs="Cambria"/>
        </w:rPr>
      </w:pPr>
      <w:r w:rsidRPr="0BA12A17">
        <w:rPr>
          <w:rFonts w:ascii="Cambria" w:eastAsia="Cambria" w:hAnsi="Cambria" w:cs="Cambria"/>
        </w:rPr>
        <w:t xml:space="preserve">                                                                             </w:t>
      </w:r>
      <m:oMath>
        <m:r>
          <w:rPr>
            <w:rFonts w:ascii="Cambria Math" w:hAnsi="Cambria Math"/>
          </w:rPr>
          <m:t>s=</m:t>
        </m:r>
        <m:d>
          <m:dPr>
            <m:begChr m:val="["/>
            <m:endChr m:val="]"/>
            <m:ctrlPr>
              <w:rPr>
                <w:rFonts w:ascii="Cambria Math" w:hAnsi="Cambria Math"/>
              </w:rPr>
            </m:ctrlPr>
          </m:dPr>
          <m:e>
            <m:r>
              <w:rPr>
                <w:rFonts w:ascii="Cambria Math" w:hAnsi="Cambria Math"/>
              </w:rPr>
              <m:t>q,ω</m:t>
            </m:r>
          </m:e>
        </m:d>
      </m:oMath>
    </w:p>
    <w:p w14:paraId="3240DD98" w14:textId="0EA3CEF0" w:rsidR="62445C1C" w:rsidRDefault="62445C1C" w:rsidP="0BA12A17">
      <w:r w:rsidRPr="0BA12A17">
        <w:rPr>
          <w:rFonts w:ascii="Cambria" w:eastAsia="Cambria" w:hAnsi="Cambria" w:cs="Cambria"/>
        </w:rPr>
        <w:t>to control torques</w:t>
      </w:r>
    </w:p>
    <w:p w14:paraId="2A5F98C1" w14:textId="7989861F" w:rsidR="62445C1C" w:rsidRDefault="62445C1C" w:rsidP="0BA12A17">
      <w:pPr>
        <w:rPr>
          <w:rFonts w:ascii="Cambria" w:eastAsia="Cambria" w:hAnsi="Cambria" w:cs="Cambria"/>
        </w:rPr>
      </w:pPr>
      <w:r w:rsidRPr="0BA12A17">
        <w:rPr>
          <w:rFonts w:ascii="Cambria" w:eastAsia="Cambria" w:hAnsi="Cambria" w:cs="Cambria"/>
        </w:rPr>
        <w:t xml:space="preserve">                                                                            </w:t>
      </w:r>
      <m:oMath>
        <m:r>
          <w:rPr>
            <w:rFonts w:ascii="Cambria Math" w:hAnsi="Cambria Math"/>
          </w:rPr>
          <m:t>τc​=πθ​</m:t>
        </m:r>
        <m:d>
          <m:dPr>
            <m:ctrlPr>
              <w:rPr>
                <w:rFonts w:ascii="Cambria Math" w:hAnsi="Cambria Math"/>
              </w:rPr>
            </m:ctrlPr>
          </m:dPr>
          <m:e>
            <m:r>
              <w:rPr>
                <w:rFonts w:ascii="Cambria Math" w:hAnsi="Cambria Math"/>
              </w:rPr>
              <m:t>s</m:t>
            </m:r>
          </m:e>
        </m:d>
      </m:oMath>
    </w:p>
    <w:p w14:paraId="1D7F92E2" w14:textId="2F42F4B3" w:rsidR="0553238A" w:rsidRDefault="0553238A" w:rsidP="0BA12A17">
      <w:pPr>
        <w:spacing w:before="240" w:after="240"/>
      </w:pPr>
      <w:r w:rsidRPr="0BA12A17">
        <w:rPr>
          <w:rFonts w:ascii="Cambria" w:eastAsia="Cambria" w:hAnsi="Cambria" w:cs="Cambria"/>
        </w:rPr>
        <w:t>such that:</w:t>
      </w:r>
    </w:p>
    <w:p w14:paraId="0018EF5A" w14:textId="27A51E4C" w:rsidR="0553238A" w:rsidRDefault="0553238A" w:rsidP="0BA12A17">
      <w:pPr>
        <w:pStyle w:val="ListParagraph"/>
        <w:numPr>
          <w:ilvl w:val="0"/>
          <w:numId w:val="2"/>
        </w:numPr>
        <w:spacing w:before="240" w:after="240"/>
        <w:rPr>
          <w:rFonts w:ascii="Cambria" w:eastAsia="Cambria" w:hAnsi="Cambria" w:cs="Cambria"/>
        </w:rPr>
      </w:pPr>
      <w:r w:rsidRPr="0BA12A17">
        <w:rPr>
          <w:rFonts w:ascii="Cambria" w:eastAsia="Cambria" w:hAnsi="Cambria" w:cs="Cambria"/>
        </w:rPr>
        <w:t>The attitude error converges to zero.</w:t>
      </w:r>
    </w:p>
    <w:p w14:paraId="50E8B375" w14:textId="6C18A288" w:rsidR="0553238A" w:rsidRDefault="0553238A" w:rsidP="0BA12A17">
      <w:pPr>
        <w:pStyle w:val="ListParagraph"/>
        <w:numPr>
          <w:ilvl w:val="0"/>
          <w:numId w:val="2"/>
        </w:numPr>
        <w:spacing w:before="240" w:after="240"/>
        <w:rPr>
          <w:rFonts w:ascii="Cambria" w:eastAsia="Cambria" w:hAnsi="Cambria" w:cs="Cambria"/>
        </w:rPr>
      </w:pPr>
      <w:r w:rsidRPr="0BA12A17">
        <w:rPr>
          <w:rFonts w:ascii="Cambria" w:eastAsia="Cambria" w:hAnsi="Cambria" w:cs="Cambria"/>
        </w:rPr>
        <w:t>Angular velocity is regulated.</w:t>
      </w:r>
    </w:p>
    <w:p w14:paraId="3B25B316" w14:textId="3C2A05FD" w:rsidR="0553238A" w:rsidRDefault="0553238A" w:rsidP="0BA12A17">
      <w:pPr>
        <w:pStyle w:val="ListParagraph"/>
        <w:numPr>
          <w:ilvl w:val="0"/>
          <w:numId w:val="2"/>
        </w:numPr>
        <w:spacing w:before="240" w:after="240"/>
        <w:rPr>
          <w:rFonts w:ascii="Cambria" w:eastAsia="Cambria" w:hAnsi="Cambria" w:cs="Cambria"/>
        </w:rPr>
      </w:pPr>
      <w:r w:rsidRPr="0BA12A17">
        <w:rPr>
          <w:rFonts w:ascii="Cambria" w:eastAsia="Cambria" w:hAnsi="Cambria" w:cs="Cambria"/>
        </w:rPr>
        <w:t>Control effort remains bounded.</w:t>
      </w:r>
    </w:p>
    <w:p w14:paraId="7D0DCCCB" w14:textId="5F01DC07" w:rsidR="0553238A" w:rsidRDefault="0553238A" w:rsidP="0BA12A17">
      <w:pPr>
        <w:pStyle w:val="ListParagraph"/>
        <w:numPr>
          <w:ilvl w:val="0"/>
          <w:numId w:val="2"/>
        </w:numPr>
        <w:spacing w:before="240" w:after="240"/>
        <w:rPr>
          <w:rFonts w:ascii="Cambria" w:eastAsia="Cambria" w:hAnsi="Cambria" w:cs="Cambria"/>
        </w:rPr>
      </w:pPr>
      <w:r w:rsidRPr="0BA12A17">
        <w:rPr>
          <w:rFonts w:ascii="Cambria" w:eastAsia="Cambria" w:hAnsi="Cambria" w:cs="Cambria"/>
        </w:rPr>
        <w:t>Safety constraints are respected.</w:t>
      </w:r>
    </w:p>
    <w:p w14:paraId="0A5A7032" w14:textId="0FA58DB7" w:rsidR="0553238A" w:rsidRDefault="0553238A" w:rsidP="0BA12A17">
      <w:pPr>
        <w:spacing w:before="240" w:after="240"/>
      </w:pPr>
      <w:r w:rsidRPr="0BA12A17">
        <w:rPr>
          <w:rFonts w:ascii="Cambria" w:eastAsia="Cambria" w:hAnsi="Cambria" w:cs="Cambria"/>
        </w:rPr>
        <w:t xml:space="preserve">Unlike classical controllers that assume exact knowledge of </w:t>
      </w:r>
      <m:oMath>
        <m:r>
          <w:rPr>
            <w:rFonts w:ascii="Cambria Math" w:hAnsi="Cambria Math"/>
          </w:rPr>
          <m:t>J  </m:t>
        </m:r>
      </m:oMath>
      <w:r w:rsidRPr="0BA12A17">
        <w:rPr>
          <w:rFonts w:ascii="Cambria" w:eastAsia="Cambria" w:hAnsi="Cambria" w:cs="Cambria"/>
        </w:rPr>
        <w:t xml:space="preserve">and </w:t>
      </w:r>
      <m:oMath>
        <m:r>
          <w:rPr>
            <w:rFonts w:ascii="Cambria Math" w:hAnsi="Cambria Math"/>
          </w:rPr>
          <m:t>τd​ </m:t>
        </m:r>
      </m:oMath>
      <w:r w:rsidRPr="0BA12A17">
        <w:rPr>
          <w:rFonts w:ascii="Cambria" w:eastAsia="Cambria" w:hAnsi="Cambria" w:cs="Cambria"/>
        </w:rPr>
        <w:t>,we consider uncertainties in:</w:t>
      </w:r>
    </w:p>
    <w:p w14:paraId="59DB318F" w14:textId="06E8FD09" w:rsidR="0553238A" w:rsidRDefault="0553238A" w:rsidP="0BA12A17">
      <w:pPr>
        <w:pStyle w:val="ListParagraph"/>
        <w:numPr>
          <w:ilvl w:val="0"/>
          <w:numId w:val="1"/>
        </w:numPr>
        <w:spacing w:before="240" w:after="240"/>
        <w:rPr>
          <w:rFonts w:ascii="Cambria" w:eastAsia="Cambria" w:hAnsi="Cambria" w:cs="Cambria"/>
        </w:rPr>
      </w:pPr>
      <w:r w:rsidRPr="0BA12A17">
        <w:rPr>
          <w:rFonts w:ascii="Cambria" w:eastAsia="Cambria" w:hAnsi="Cambria" w:cs="Cambria"/>
        </w:rPr>
        <w:t>Inertia parameters</w:t>
      </w:r>
    </w:p>
    <w:p w14:paraId="32B2C38F" w14:textId="08C9F697" w:rsidR="0553238A" w:rsidRDefault="0553238A" w:rsidP="0BA12A17">
      <w:pPr>
        <w:pStyle w:val="ListParagraph"/>
        <w:numPr>
          <w:ilvl w:val="0"/>
          <w:numId w:val="1"/>
        </w:numPr>
        <w:spacing w:before="240" w:after="240"/>
        <w:rPr>
          <w:rFonts w:ascii="Cambria" w:eastAsia="Cambria" w:hAnsi="Cambria" w:cs="Cambria"/>
        </w:rPr>
      </w:pPr>
      <w:r w:rsidRPr="0BA12A17">
        <w:rPr>
          <w:rFonts w:ascii="Cambria" w:eastAsia="Cambria" w:hAnsi="Cambria" w:cs="Cambria"/>
        </w:rPr>
        <w:t>Sensor measurements</w:t>
      </w:r>
    </w:p>
    <w:p w14:paraId="533F3D3A" w14:textId="66904D70" w:rsidR="0553238A" w:rsidRDefault="0553238A" w:rsidP="0BA12A17">
      <w:pPr>
        <w:pStyle w:val="ListParagraph"/>
        <w:numPr>
          <w:ilvl w:val="0"/>
          <w:numId w:val="1"/>
        </w:numPr>
        <w:spacing w:before="240" w:after="240"/>
        <w:rPr>
          <w:rFonts w:ascii="Cambria" w:eastAsia="Cambria" w:hAnsi="Cambria" w:cs="Cambria"/>
        </w:rPr>
      </w:pPr>
      <w:r w:rsidRPr="0BA12A17">
        <w:rPr>
          <w:rFonts w:ascii="Cambria" w:eastAsia="Cambria" w:hAnsi="Cambria" w:cs="Cambria"/>
        </w:rPr>
        <w:t>Actuator effectiveness</w:t>
      </w:r>
    </w:p>
    <w:p w14:paraId="58879693" w14:textId="0DFB4EEA" w:rsidR="0553238A" w:rsidRDefault="0553238A" w:rsidP="0BA12A17">
      <w:pPr>
        <w:pStyle w:val="ListParagraph"/>
        <w:numPr>
          <w:ilvl w:val="0"/>
          <w:numId w:val="1"/>
        </w:numPr>
        <w:spacing w:before="240" w:after="240"/>
        <w:rPr>
          <w:rFonts w:ascii="Cambria" w:eastAsia="Cambria" w:hAnsi="Cambria" w:cs="Cambria"/>
        </w:rPr>
      </w:pPr>
      <w:r w:rsidRPr="0BA12A17">
        <w:rPr>
          <w:rFonts w:ascii="Cambria" w:eastAsia="Cambria" w:hAnsi="Cambria" w:cs="Cambria"/>
        </w:rPr>
        <w:t>Environmental disturbances</w:t>
      </w:r>
    </w:p>
    <w:p w14:paraId="301CBC54" w14:textId="5DB5647E" w:rsidR="0553238A" w:rsidRDefault="0553238A" w:rsidP="0BA12A17">
      <w:pPr>
        <w:spacing w:before="240" w:after="240"/>
      </w:pPr>
      <w:r w:rsidRPr="0BA12A17">
        <w:rPr>
          <w:rFonts w:ascii="Cambria" w:eastAsia="Cambria" w:hAnsi="Cambria" w:cs="Cambria"/>
        </w:rPr>
        <w:lastRenderedPageBreak/>
        <w:t>The central challenge addressed in this work is to design a structured Sim-to-Real transfer architecture that enables a policy trained in simulation to remain stable, safe, and certifiable under these uncertainties.</w:t>
      </w:r>
    </w:p>
    <w:p w14:paraId="061FF05E" w14:textId="48677705" w:rsidR="3BBF0D71" w:rsidRDefault="3BBF0D71" w:rsidP="0BA12A17">
      <w:pPr>
        <w:rPr>
          <w:rFonts w:ascii="Cambria" w:eastAsia="Cambria" w:hAnsi="Cambria" w:cs="Cambria"/>
          <w:b/>
          <w:bCs/>
          <w:sz w:val="24"/>
          <w:szCs w:val="24"/>
        </w:rPr>
      </w:pPr>
      <w:r w:rsidRPr="0BA12A17">
        <w:rPr>
          <w:rFonts w:ascii="Cambria" w:eastAsia="Cambria" w:hAnsi="Cambria" w:cs="Cambria"/>
          <w:b/>
          <w:bCs/>
          <w:sz w:val="24"/>
          <w:szCs w:val="24"/>
        </w:rPr>
        <w:t>2.1 Reinforcement Learning Objective</w:t>
      </w:r>
    </w:p>
    <w:p w14:paraId="2663F062" w14:textId="7C00E980" w:rsidR="73FC9CAA" w:rsidRDefault="73FC9CAA" w:rsidP="0BA12A17">
      <w:r w:rsidRPr="0BA12A17">
        <w:rPr>
          <w:rFonts w:ascii="Cambria" w:eastAsia="Cambria" w:hAnsi="Cambria" w:cs="Cambria"/>
          <w:sz w:val="24"/>
          <w:szCs w:val="24"/>
        </w:rPr>
        <w:t>The reinforcement learning objective is defined as maximizing the expected cumulative reward:</w:t>
      </w:r>
    </w:p>
    <w:p w14:paraId="1170AF4D" w14:textId="2A7CD5E3" w:rsidR="73FC9CAA" w:rsidRDefault="73FC9CAA" w:rsidP="0BA12A17">
      <w:r>
        <w:t xml:space="preserve">                                                           </w:t>
      </w:r>
      <m:oMath>
        <m:r>
          <w:rPr>
            <w:rFonts w:ascii="Cambria Math" w:hAnsi="Cambria Math"/>
          </w:rPr>
          <m:t>J</m:t>
        </m:r>
        <m:d>
          <m:dPr>
            <m:ctrlPr>
              <w:rPr>
                <w:rFonts w:ascii="Cambria Math" w:hAnsi="Cambria Math"/>
              </w:rPr>
            </m:ctrlPr>
          </m:dPr>
          <m:e>
            <m:r>
              <w:rPr>
                <w:rFonts w:ascii="Cambria Math" w:hAnsi="Cambria Math"/>
              </w:rPr>
              <m:t>θ</m:t>
            </m:r>
          </m:e>
        </m:d>
        <m:r>
          <w:rPr>
            <w:rFonts w:ascii="Cambria Math" w:hAnsi="Cambria Math"/>
          </w:rPr>
          <m:t>=E</m:t>
        </m:r>
        <m:d>
          <m:dPr>
            <m:begChr m:val="["/>
            <m:endChr m:val="]"/>
            <m:ctrlPr>
              <w:rPr>
                <w:rFonts w:ascii="Cambria Math" w:hAnsi="Cambria Math"/>
              </w:rPr>
            </m:ctrlPr>
          </m:dPr>
          <m:e>
            <m:r>
              <w:rPr>
                <w:rFonts w:ascii="Cambria Math" w:hAnsi="Cambria Math"/>
              </w:rPr>
              <m:t>t=0</m:t>
            </m:r>
            <m:nary>
              <m:naryPr>
                <m:chr m:val="∑"/>
                <m:ctrlPr>
                  <w:rPr>
                    <w:rFonts w:ascii="Cambria Math" w:hAnsi="Cambria Math"/>
                  </w:rPr>
                </m:ctrlPr>
              </m:naryPr>
              <m:sub>
                <m:r>
                  <w:rPr>
                    <w:rFonts w:ascii="Cambria Math" w:hAnsi="Cambria Math"/>
                  </w:rPr>
                  <m:t>t=0</m:t>
                </m:r>
              </m:sub>
              <m:sup>
                <m:r>
                  <w:rPr>
                    <w:rFonts w:ascii="Cambria Math" w:hAnsi="Cambria Math"/>
                  </w:rPr>
                  <m:t>T</m:t>
                </m:r>
              </m:sup>
              <m:e>
                <m:r>
                  <w:rPr>
                    <w:rFonts w:ascii="Cambria Math" w:hAnsi="Cambria Math"/>
                  </w:rPr>
                  <m:t>T​r</m:t>
                </m:r>
                <m:d>
                  <m:dPr>
                    <m:ctrlPr>
                      <w:rPr>
                        <w:rFonts w:ascii="Cambria Math" w:hAnsi="Cambria Math"/>
                      </w:rPr>
                    </m:ctrlPr>
                  </m:dPr>
                  <m:e>
                    <m:r>
                      <w:rPr>
                        <w:rFonts w:ascii="Cambria Math" w:hAnsi="Cambria Math"/>
                      </w:rPr>
                      <m:t>st​,at​</m:t>
                    </m:r>
                  </m:e>
                </m:d>
              </m:e>
            </m:nary>
          </m:e>
        </m:d>
      </m:oMath>
    </w:p>
    <w:p w14:paraId="66B7C230" w14:textId="0AFCD579" w:rsidR="2F48B5BA" w:rsidRDefault="2F48B5BA" w:rsidP="0BA12A17">
      <w:pPr>
        <w:rPr>
          <w:rFonts w:ascii="Cambria" w:eastAsia="Cambria" w:hAnsi="Cambria" w:cs="Cambria"/>
        </w:rPr>
      </w:pPr>
      <w:r w:rsidRPr="0BA12A17">
        <w:rPr>
          <w:rFonts w:ascii="Cambria" w:eastAsia="Cambria" w:hAnsi="Cambria" w:cs="Cambria"/>
        </w:rPr>
        <w:t>where the reward function is structured as:</w:t>
      </w:r>
    </w:p>
    <w:p w14:paraId="138D2C63" w14:textId="056E82A5" w:rsidR="76B034D6" w:rsidRDefault="76B034D6" w:rsidP="0BA12A17">
      <w:pPr>
        <w:jc w:val="center"/>
        <w:rPr>
          <w:rFonts w:ascii="Cambria" w:eastAsia="Cambria" w:hAnsi="Cambria" w:cs="Cambria"/>
        </w:rPr>
      </w:pPr>
      <w:r w:rsidRPr="0BA12A17">
        <w:rPr>
          <w:rFonts w:ascii="Cambria" w:eastAsia="Cambria" w:hAnsi="Cambria" w:cs="Cambria"/>
        </w:rPr>
        <w:t xml:space="preserve">           </w:t>
      </w:r>
      <m:oMath>
        <m:r>
          <w:rPr>
            <w:rFonts w:ascii="Cambria Math" w:hAnsi="Cambria Math"/>
          </w:rPr>
          <m:t>r=-α∥eq​</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-β∥ω</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-γ∥τc​</m:t>
        </m:r>
        <m:sSup>
          <m:sSupPr>
            <m:ctrlPr>
              <w:rPr>
                <w:rFonts w:ascii="Cambria Math" w:hAnsi="Cambria Math"/>
              </w:rPr>
            </m:ctrlPr>
          </m:sSupPr>
          <m:e>
            <m:r>
              <w:rPr>
                <w:rFonts w:ascii="Cambria Math" w:hAnsi="Cambria Math"/>
              </w:rPr>
              <m:t>∥</m:t>
            </m:r>
          </m:e>
          <m:sup>
            <m:r>
              <w:rPr>
                <w:rFonts w:ascii="Cambria Math" w:hAnsi="Cambria Math"/>
              </w:rPr>
              <m:t>2</m:t>
            </m:r>
          </m:sup>
        </m:sSup>
      </m:oMath>
    </w:p>
    <w:p w14:paraId="739E15B8" w14:textId="7781BFB1" w:rsidR="0BA12A17" w:rsidRDefault="0BA12A17" w:rsidP="0BA12A17">
      <w:pPr>
        <w:jc w:val="center"/>
        <w:rPr>
          <w:rFonts w:ascii="Cambria" w:eastAsia="Cambria" w:hAnsi="Cambria" w:cs="Cambria"/>
        </w:rPr>
      </w:pPr>
    </w:p>
    <w:p w14:paraId="1FE88408" w14:textId="51D7DDAB" w:rsidR="2FC11E97" w:rsidRDefault="2FC11E97" w:rsidP="0BA12A17">
      <w:r w:rsidRPr="0BA12A17">
        <w:rPr>
          <w:rFonts w:ascii="Cambria" w:eastAsia="Cambria" w:hAnsi="Cambria" w:cs="Cambria"/>
        </w:rPr>
        <w:t>subject to:</w:t>
      </w:r>
    </w:p>
    <w:p w14:paraId="4129F637" w14:textId="552107A0" w:rsidR="2FC11E97" w:rsidRDefault="2FC11E97" w:rsidP="0BA12A17">
      <w:pPr>
        <w:rPr>
          <w:b/>
          <w:bCs/>
          <w:color w:val="4F81BD" w:themeColor="accent1"/>
          <w:sz w:val="28"/>
          <w:szCs w:val="28"/>
        </w:rPr>
      </w:pPr>
      <w:r w:rsidRPr="0BA12A17">
        <w:rPr>
          <w:b/>
          <w:bCs/>
          <w:color w:val="4F81BD" w:themeColor="accent1"/>
          <w:sz w:val="28"/>
          <w:szCs w:val="28"/>
        </w:rPr>
        <w:t xml:space="preserve">                                                         </w:t>
      </w:r>
      <m:oMath>
        <m:r>
          <w:rPr>
            <w:rFonts w:ascii="Cambria Math" w:hAnsi="Cambria Math"/>
          </w:rPr>
          <m:t>τ min​≤τc​≤τ max​ </m:t>
        </m:r>
      </m:oMath>
    </w:p>
    <w:p w14:paraId="1CC0469D" w14:textId="14CEAF0C" w:rsidR="00412BE4" w:rsidRDefault="034267DE" w:rsidP="00412BE4">
      <w:pPr>
        <w:rPr>
          <w:b/>
          <w:bCs/>
          <w:color w:val="4F81BD" w:themeColor="accent1"/>
          <w:sz w:val="28"/>
          <w:szCs w:val="28"/>
          <w:rtl/>
        </w:rPr>
      </w:pPr>
      <w:r w:rsidRPr="0BA12A17">
        <w:rPr>
          <w:b/>
          <w:bCs/>
          <w:color w:val="4F81BD" w:themeColor="accent1"/>
          <w:sz w:val="28"/>
          <w:szCs w:val="28"/>
        </w:rPr>
        <w:t>3</w:t>
      </w:r>
      <w:r w:rsidR="00377B45" w:rsidRPr="0BA12A17">
        <w:rPr>
          <w:b/>
          <w:bCs/>
          <w:color w:val="4F81BD" w:themeColor="accent1"/>
          <w:sz w:val="28"/>
          <w:szCs w:val="28"/>
        </w:rPr>
        <w:t>. Literature Review</w:t>
      </w:r>
    </w:p>
    <w:p w14:paraId="0ADBD363" w14:textId="3BE0620A" w:rsidR="007074F8" w:rsidRDefault="007074F8" w:rsidP="007074F8">
      <w:r>
        <w:t>Existing research on spacecraft attitude control can be broadly categorized into three main streams: classical model-based control, learning-based control using Deep Reinforcement Learning (DRL), and emerging robustness- and safety-aware learning approaches.</w:t>
      </w:r>
    </w:p>
    <w:p w14:paraId="479DBEB1" w14:textId="351D30A8" w:rsidR="007074F8" w:rsidRDefault="007074F8" w:rsidP="007074F8">
      <w:r>
        <w:t>Classical spacecraft attitude control methods, including proportional–derivative (PD) control, linear quadratic regulators (LQR), and nonlinear techniques such as backstepping and sliding-mode control, have demonstrated strong stability guarantees and compatibility with aerospace certification processes. These methods remain the backbone of operational spacecraft control systems due to their analytical tractability and predictable behavior. However, their reliance on accurate system models and manual parameter tuning limits adaptability under parameter uncertainty, actuator degradation, environmental disturbances, and evolving mission conditions, particularly for long-duration or highly autonomous missions.</w:t>
      </w:r>
    </w:p>
    <w:p w14:paraId="40649FE9" w14:textId="66967541" w:rsidR="007074F8" w:rsidRDefault="007074F8" w:rsidP="007074F8">
      <w:r>
        <w:t>More recently, Deep Reinforcement Learning has been explored as a model-free alternative for spacecraft attitude control. Numerous studies have demonstrated the feasibility of DRL-based controllers for attitude stabilization and maneuvering in simulation environments, showing improved adaptability to nonlinear dynamics, uncertainties, and fault scenarios [1–3]. These works primarily focus on learning control policies under nominal or mildly perturbed conditions, often assuming idealized sensing, actuation, and environmental models. As a result, their demonstrated performance does not directly translate to operational spacecraft systems subject to real-world uncertainty and constraints.</w:t>
      </w:r>
    </w:p>
    <w:p w14:paraId="095A8FBA" w14:textId="62CCD1B8" w:rsidR="007074F8" w:rsidRDefault="007074F8" w:rsidP="007074F8">
      <w:r>
        <w:t xml:space="preserve">A growing subset of studies has attempted to improve robustness through techniques such as domain randomization, fault-tolerant learning, or hybrid control architectures that combine DRL with </w:t>
      </w:r>
      <w:r>
        <w:lastRenderedPageBreak/>
        <w:t>classical controllers [4,8–10]. While these approaches enhance performance under specific uncertainties or fault scenarios, they typically address robustness, safety, or adaptation in isolation and do not provide an integrated architectural framework for systematic Sim-to-Real transfer. Furthermore, most existing works do not explicitly consider certification, explainability, or alignment with aerospace safety standards, despite their critical importance for operational deployment [5–7,12–14].</w:t>
      </w:r>
    </w:p>
    <w:p w14:paraId="5BBE875C" w14:textId="77777777" w:rsidR="007074F8" w:rsidRDefault="007074F8" w:rsidP="007074F8">
      <w:r>
        <w:t>In summary, while prior research demonstrates the potential of DRL for spacecraft attitude control, it lacks a unified, safety-aware architectural perspective that systematically bridges simulation-trained policies and real spacecraft operation under certification constraints. This gap motivates the development of a structured, spacecraft-specific Sim-to-Real transfer framework, as proposed in this work.</w:t>
      </w:r>
    </w:p>
    <w:p w14:paraId="7755ECA8" w14:textId="79BE35E8" w:rsidR="001A2E43" w:rsidRPr="00412BE4" w:rsidRDefault="2A86386C" w:rsidP="007074F8">
      <w:pPr>
        <w:rPr>
          <w:b/>
          <w:bCs/>
          <w:color w:val="4F81BD" w:themeColor="accent1"/>
          <w:sz w:val="28"/>
          <w:szCs w:val="28"/>
        </w:rPr>
      </w:pPr>
      <w:r w:rsidRPr="0BA12A17">
        <w:rPr>
          <w:b/>
          <w:bCs/>
          <w:color w:val="4F81BD" w:themeColor="accent1"/>
          <w:sz w:val="28"/>
          <w:szCs w:val="28"/>
        </w:rPr>
        <w:t>4</w:t>
      </w:r>
      <w:r w:rsidR="00377B45" w:rsidRPr="0BA12A17">
        <w:rPr>
          <w:b/>
          <w:bCs/>
          <w:color w:val="4F81BD" w:themeColor="accent1"/>
          <w:sz w:val="28"/>
          <w:szCs w:val="28"/>
        </w:rPr>
        <w:t>. Challenges in Sim-to-Real Transfer</w:t>
      </w:r>
    </w:p>
    <w:p w14:paraId="3B71C98D" w14:textId="79BA4320" w:rsidR="00510AE5" w:rsidRDefault="00510AE5" w:rsidP="00510AE5">
      <w:r>
        <w:t>Spacecraft attitude control systems operate under a wide range of uncertainties that are difficult to capture accurately in simulation. These include sensor drift, magnetometer noise, star tracker jitter, variable inertia due to fuel consumption, flexible appendage dynamics, actuator saturation, reaction wheel degradation or failure, and environmental disturbances such as gravity-gradient and solar radiation pressure torques [4,5]. When these effects are neglected or oversimplified during training, Deep Reinforcement Learning (DRL) policies optimized in simulation often exhibit degraded performance or instability when deployed on real spacecraft.</w:t>
      </w:r>
    </w:p>
    <w:p w14:paraId="2828832F" w14:textId="4A794E5F" w:rsidR="00510AE5" w:rsidRDefault="00510AE5" w:rsidP="00510AE5">
      <w:r>
        <w:t>In addition to physical uncertainties, discrepancies between simulated and real dynamics introduce structural model mismatches. Simplified rigid-body assumptions, idealized actuator models, and perfect state observability commonly used in training environments fail to reflect the stochastic and time-varying behavior of operational spacecraft. These mismatches exacerbate the so-called reality gap, limiting the generalization capability of learned control policies.</w:t>
      </w:r>
    </w:p>
    <w:p w14:paraId="0DBCEBC0" w14:textId="2AC05C9E" w:rsidR="00510AE5" w:rsidRDefault="00510AE5" w:rsidP="00510AE5">
      <w:r>
        <w:t>Another critical challenge arises from computational constraints and system-level integration. Onboard processors impose strict limits on memory, inference latency, and power consumption, which can restrict the complexity of deployable DRL architectures. Policies trained without accounting for these constraints may be impractical for real-time flight execution.</w:t>
      </w:r>
    </w:p>
    <w:p w14:paraId="3A34CC21" w14:textId="30ADE587" w:rsidR="00510AE5" w:rsidRDefault="00510AE5" w:rsidP="00510AE5">
      <w:r>
        <w:t>Finally, the black-box nature of DRL policies presents a significant obstacle to verification, validation, and certification under existing aerospace safety standards. Unlike classical controllers with analytically provable properties, learning-based controllers lack inherent interpretability, making it difficult to guarantee bounded behavior under all operational conditions [6,7]. This challenge is particularly critical for safety-critical spacecraft systems, where unanticipated control actions can lead to mission loss.</w:t>
      </w:r>
    </w:p>
    <w:p w14:paraId="13605245" w14:textId="5EADEF99" w:rsidR="00FB74F6" w:rsidRDefault="00FB74F6" w:rsidP="00FB74F6">
      <w:r>
        <w:t xml:space="preserve">Figure 1 summarizes the primary contributors to the reality gap between simulation-trained Deep Reinforcement Learning (DRL) controllers and real spacecraft environments. The figure illustrates the progressive accumulation of discrepancies arising from sensing imperfections, actuator non-idealities, environmental disturbances, model mismatch, and onboard computational constraints. </w:t>
      </w:r>
      <w:r>
        <w:lastRenderedPageBreak/>
        <w:t>These factors collectively undermine the direct transferability of policies trained under idealized simulation assumptions.</w:t>
      </w:r>
    </w:p>
    <w:p w14:paraId="3664E962" w14:textId="5A89D1CC" w:rsidR="001A2E43" w:rsidRPr="000C0D07" w:rsidRDefault="00FB74F6" w:rsidP="00F753A3">
      <w:pPr>
        <w:jc w:val="left"/>
        <w:rPr>
          <w:color w:val="17365D" w:themeColor="text2" w:themeShade="BF"/>
        </w:rPr>
      </w:pPr>
      <w:r>
        <w:t>Addressing this multi-layered reality gap requires a systematic and theoretically grounded Sim-to-Real transfer framework that treats uncertainty, robustness, and safety as integral design elements rather than post hoc corrections. Effective transfer demands explicit modeling of uncertainty sources, robustness-oriented training mechanisms, and architectural provisions for safety enforcement and certification compliance throughout the control design process.</w:t>
      </w:r>
      <w:r w:rsidR="00911305">
        <w:rPr>
          <w:noProof/>
        </w:rPr>
        <w:drawing>
          <wp:inline distT="0" distB="0" distL="0" distR="0" wp14:anchorId="7D5CEA27" wp14:editId="101E6C84">
            <wp:extent cx="5418667" cy="3048000"/>
            <wp:effectExtent l="0" t="0" r="0" b="0"/>
            <wp:docPr id="1457611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081" cy="3052171"/>
                    </a:xfrm>
                    <a:prstGeom prst="rect">
                      <a:avLst/>
                    </a:prstGeom>
                    <a:noFill/>
                  </pic:spPr>
                </pic:pic>
              </a:graphicData>
            </a:graphic>
          </wp:inline>
        </w:drawing>
      </w:r>
    </w:p>
    <w:p w14:paraId="4B01DFA0" w14:textId="77777777" w:rsidR="000279C3" w:rsidRDefault="000279C3" w:rsidP="000279C3">
      <w:pPr>
        <w:jc w:val="center"/>
        <w:rPr>
          <w:color w:val="17365D" w:themeColor="text2" w:themeShade="BF"/>
        </w:rPr>
      </w:pPr>
      <w:r w:rsidRPr="000279C3">
        <w:rPr>
          <w:color w:val="17365D" w:themeColor="text2" w:themeShade="BF"/>
        </w:rPr>
        <w:t>Figure 1. Key sources contributing to the reality gap between simulation-trained Deep Reinforcement Learning (DRL) controllers and real spacecraft environments. The figure highlights how sensing imperfections, actuator non-idealities, environmental disturbances, modeling assumptions, and onboard computational constraints collectively degrade policy transferability from simulation to operational spacecraft systems.</w:t>
      </w:r>
    </w:p>
    <w:p w14:paraId="77DFB328" w14:textId="0D8A7B80" w:rsidR="00727364" w:rsidRDefault="45248211" w:rsidP="0BA12A17">
      <w:pPr>
        <w:rPr>
          <w:rFonts w:asciiTheme="majorHAnsi" w:hAnsiTheme="majorHAnsi" w:cstheme="majorBidi"/>
          <w:b/>
          <w:bCs/>
          <w:color w:val="4F81BD" w:themeColor="accent1"/>
          <w:sz w:val="28"/>
          <w:szCs w:val="28"/>
        </w:rPr>
      </w:pPr>
      <w:r w:rsidRPr="0BA12A17">
        <w:rPr>
          <w:rFonts w:asciiTheme="majorHAnsi" w:hAnsiTheme="majorHAnsi" w:cstheme="majorBidi"/>
          <w:b/>
          <w:bCs/>
          <w:color w:val="4F81BD" w:themeColor="accent1"/>
          <w:sz w:val="28"/>
          <w:szCs w:val="28"/>
        </w:rPr>
        <w:t>5</w:t>
      </w:r>
      <w:r w:rsidR="00377B45" w:rsidRPr="0BA12A17">
        <w:rPr>
          <w:rFonts w:asciiTheme="majorHAnsi" w:hAnsiTheme="majorHAnsi" w:cstheme="majorBidi"/>
          <w:b/>
          <w:bCs/>
          <w:color w:val="4F81BD" w:themeColor="accent1"/>
          <w:sz w:val="28"/>
          <w:szCs w:val="28"/>
        </w:rPr>
        <w:t>. Proposed Theoretical Framework</w:t>
      </w:r>
    </w:p>
    <w:p w14:paraId="2CABE33E" w14:textId="5DA2CB3F" w:rsidR="000279C3" w:rsidRPr="000279C3" w:rsidRDefault="000279C3" w:rsidP="00727364">
      <w:pPr>
        <w:rPr>
          <w:rFonts w:cstheme="majorHAnsi"/>
        </w:rPr>
      </w:pPr>
      <w:r w:rsidRPr="000279C3">
        <w:rPr>
          <w:rFonts w:cstheme="majorHAnsi"/>
        </w:rPr>
        <w:t>Figure 2 presents a high-level conceptual overview of the proposed Sim-to-Real transfer framework for Deep Reinforcement Learning–based spacecraft attitude control. The framework is organized as a layered architecture that progresses from nominal simulation and robustness-oriented training toward safety-constrained deployment and runtime supervision. Each module addresses a distinct aspect of the simulation-to-reality gap while remaining interoperable within a unified control pipeline. This architectural decomposition enables systematic reasoning about robustness, certification, and autonomy readiness, and serves as the foundation for the detailed module descriptions that follow.</w:t>
      </w:r>
    </w:p>
    <w:p w14:paraId="77652A9E" w14:textId="77777777" w:rsidR="000279C3" w:rsidRDefault="000279C3" w:rsidP="00727364">
      <w:pPr>
        <w:rPr>
          <w:rFonts w:asciiTheme="majorHAnsi" w:hAnsiTheme="majorHAnsi" w:cstheme="majorHAnsi"/>
          <w:b/>
          <w:bCs/>
          <w:color w:val="4F81BD" w:themeColor="accent1"/>
          <w:sz w:val="28"/>
          <w:szCs w:val="28"/>
        </w:rPr>
      </w:pPr>
    </w:p>
    <w:p w14:paraId="585A3449" w14:textId="7C3AD3E3" w:rsidR="001A2E43" w:rsidRDefault="00727364" w:rsidP="000279C3">
      <w:pPr>
        <w:jc w:val="center"/>
        <w:rPr>
          <w:rFonts w:asciiTheme="majorHAnsi" w:hAnsiTheme="majorHAnsi" w:cstheme="majorHAnsi"/>
          <w:b/>
          <w:bCs/>
          <w:color w:val="4F81BD" w:themeColor="accent1"/>
          <w:sz w:val="28"/>
          <w:szCs w:val="28"/>
        </w:rPr>
      </w:pPr>
      <w:r>
        <w:rPr>
          <w:noProof/>
        </w:rPr>
        <w:lastRenderedPageBreak/>
        <w:drawing>
          <wp:inline distT="0" distB="0" distL="0" distR="0" wp14:anchorId="745795B0" wp14:editId="72B3F0BF">
            <wp:extent cx="5943602" cy="3343275"/>
            <wp:effectExtent l="0" t="0" r="0" b="0"/>
            <wp:docPr id="2087028029" name="Picture 1" descr="A diagram of a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28029" name="Picture 1" descr="A diagram of a system&#10;&#10;AI-generated content may be incorrect."/>
                    <pic:cNvPicPr/>
                  </pic:nvPicPr>
                  <pic:blipFill>
                    <a:blip r:embed="rId10"/>
                    <a:stretch>
                      <a:fillRect/>
                    </a:stretch>
                  </pic:blipFill>
                  <pic:spPr>
                    <a:xfrm>
                      <a:off x="0" y="0"/>
                      <a:ext cx="5980898" cy="3364254"/>
                    </a:xfrm>
                    <a:prstGeom prst="rect">
                      <a:avLst/>
                    </a:prstGeom>
                  </pic:spPr>
                </pic:pic>
              </a:graphicData>
            </a:graphic>
          </wp:inline>
        </w:drawing>
      </w:r>
    </w:p>
    <w:p w14:paraId="15E825D5" w14:textId="77777777" w:rsidR="000279C3" w:rsidRDefault="000279C3" w:rsidP="000279C3">
      <w:pPr>
        <w:jc w:val="center"/>
        <w:rPr>
          <w:color w:val="17365D" w:themeColor="text2" w:themeShade="BF"/>
        </w:rPr>
      </w:pPr>
      <w:r w:rsidRPr="000279C3">
        <w:rPr>
          <w:color w:val="17365D" w:themeColor="text2" w:themeShade="BF"/>
        </w:rPr>
        <w:t>Figure 2. Conceptual overview of the proposed Sim-to-Real transfer framework for Deep Reinforcement Learning–based spacecraft attitude control. The architecture illustrates the progression from nominal simulation and robustness enhancement through domain randomization and realism modeling to safety-constrained policy execution, controlled adaptation, and runtime monitoring. The safety and certification envelope constrains the learning-based policy, while telemetry feedback and performance monitoring enable supervised adaptation and fail-safe intervention during operation.</w:t>
      </w:r>
    </w:p>
    <w:p w14:paraId="12254A4C" w14:textId="61E2A4C6" w:rsidR="00911305" w:rsidRPr="00E73DC0" w:rsidRDefault="17DB2420" w:rsidP="00911305">
      <w:pPr>
        <w:rPr>
          <w:b/>
          <w:bCs/>
          <w:sz w:val="24"/>
          <w:szCs w:val="24"/>
        </w:rPr>
      </w:pPr>
      <w:r w:rsidRPr="0BA12A17">
        <w:rPr>
          <w:b/>
          <w:bCs/>
          <w:sz w:val="24"/>
          <w:szCs w:val="24"/>
        </w:rPr>
        <w:t>5</w:t>
      </w:r>
      <w:r w:rsidR="00911305" w:rsidRPr="0BA12A17">
        <w:rPr>
          <w:b/>
          <w:bCs/>
          <w:sz w:val="24"/>
          <w:szCs w:val="24"/>
        </w:rPr>
        <w:t>.1 Framework Novelty and Design Rationale</w:t>
      </w:r>
    </w:p>
    <w:p w14:paraId="28C4903A" w14:textId="60BC59E0" w:rsidR="00911305" w:rsidRPr="00911305" w:rsidRDefault="007074F8" w:rsidP="00911305">
      <w:r w:rsidRPr="007074F8">
        <w:t xml:space="preserve">The design of the proposed Sim-to-Real framework is guided by several theoretical principles that distinguish it from existing reinforcement learning and Sim-to-Real approaches applied to spacecraft control. While prior work has explored individual techniques such as domain randomization, robust reward shaping, or safety-filtered reinforcement learning, this framework integrates these components into a unified, certification-aware architecture specifically tailored for spacecraft Attitude Determination and Control </w:t>
      </w:r>
      <w:r w:rsidR="00811A41" w:rsidRPr="007074F8">
        <w:t>Systems.</w:t>
      </w:r>
    </w:p>
    <w:p w14:paraId="15A70839" w14:textId="77777777" w:rsidR="00811A41" w:rsidRDefault="00811A41" w:rsidP="00811A41">
      <w:pPr>
        <w:ind w:left="720"/>
      </w:pPr>
      <w:r w:rsidRPr="00811A41">
        <w:t>The key architectural design choices and distinguishing features of the proposed framework are summarized as follows:</w:t>
      </w:r>
    </w:p>
    <w:p w14:paraId="319A770E" w14:textId="0C89985E" w:rsidR="00911305" w:rsidRPr="00911305" w:rsidRDefault="00911305" w:rsidP="00911305">
      <w:pPr>
        <w:numPr>
          <w:ilvl w:val="0"/>
          <w:numId w:val="13"/>
        </w:numPr>
      </w:pPr>
      <w:r w:rsidRPr="00911305">
        <w:rPr>
          <w:b/>
          <w:bCs/>
        </w:rPr>
        <w:t>End-to-end modular Sim-to-Real architecture for spacecraft ADCS</w:t>
      </w:r>
      <w:r w:rsidRPr="00911305">
        <w:t>: Unlike prior approaches that address robustness or transferability in isolation, the proposed framework defines a complete seven-layer pipeline spanning nominal modeling, robustness-oriented training, realism injection, safety enforcement, adaptation, and runtime supervision within a single theoretical construct.</w:t>
      </w:r>
    </w:p>
    <w:p w14:paraId="0DD62742" w14:textId="77777777" w:rsidR="00911305" w:rsidRPr="00911305" w:rsidRDefault="00911305" w:rsidP="00911305">
      <w:pPr>
        <w:numPr>
          <w:ilvl w:val="0"/>
          <w:numId w:val="13"/>
        </w:numPr>
      </w:pPr>
      <w:r w:rsidRPr="00911305">
        <w:rPr>
          <w:b/>
          <w:bCs/>
        </w:rPr>
        <w:lastRenderedPageBreak/>
        <w:t>Explicit separation of nominal dynamics, uncertainty modeling, and realism effects</w:t>
      </w:r>
      <w:r w:rsidRPr="00911305">
        <w:t>: The framework introduces a clear architectural distinction between baseline spacecraft dynamics (Module 1), statistical uncertainty exposure (Module 2), and physically motivated sensor and actuator imperfections (Module 3), enabling systematic reasoning about robustness and transferability contributions.</w:t>
      </w:r>
    </w:p>
    <w:p w14:paraId="6BACDA47" w14:textId="2C10F5E6" w:rsidR="00911305" w:rsidRPr="00911305" w:rsidRDefault="00911305" w:rsidP="00911305">
      <w:pPr>
        <w:numPr>
          <w:ilvl w:val="0"/>
          <w:numId w:val="13"/>
        </w:numPr>
      </w:pPr>
      <w:r w:rsidRPr="00911305">
        <w:rPr>
          <w:b/>
          <w:bCs/>
        </w:rPr>
        <w:t>Certification-aware learning architecture</w:t>
      </w:r>
      <w:r w:rsidRPr="00911305">
        <w:t xml:space="preserve">: The integration of a Safety and Certification Envelope (Module 5) and deterministic runtime supervision (Module 7) explicitly </w:t>
      </w:r>
      <w:r w:rsidR="00811A41" w:rsidRPr="00911305">
        <w:t>align</w:t>
      </w:r>
      <w:r w:rsidRPr="00911305">
        <w:t xml:space="preserve"> learning-based control with aerospace safety and assurance standards, addressing a gap largely ignored in existing Sim-to-Real literature.</w:t>
      </w:r>
    </w:p>
    <w:p w14:paraId="613EC4AF" w14:textId="77777777" w:rsidR="00911305" w:rsidRPr="00911305" w:rsidRDefault="00911305" w:rsidP="00911305">
      <w:pPr>
        <w:numPr>
          <w:ilvl w:val="0"/>
          <w:numId w:val="13"/>
        </w:numPr>
      </w:pPr>
      <w:r w:rsidRPr="00911305">
        <w:rPr>
          <w:b/>
          <w:bCs/>
        </w:rPr>
        <w:t>Constrained post-deployment adaptation mechanism</w:t>
      </w:r>
      <w:r w:rsidRPr="00911305">
        <w:t>: Unlike conventional online reinforcement learning approaches, the proposed Transfer Adaptation Module enables bounded, safety-supervised refinement that preserves certification assumptions while compensating for long-term operational drift.</w:t>
      </w:r>
    </w:p>
    <w:p w14:paraId="400C672F" w14:textId="77777777" w:rsidR="00911305" w:rsidRPr="00911305" w:rsidRDefault="00911305" w:rsidP="00911305">
      <w:pPr>
        <w:numPr>
          <w:ilvl w:val="0"/>
          <w:numId w:val="13"/>
        </w:numPr>
      </w:pPr>
      <w:r w:rsidRPr="00911305">
        <w:rPr>
          <w:b/>
          <w:bCs/>
        </w:rPr>
        <w:t>Autonomy-readiness–driven framework design</w:t>
      </w:r>
      <w:r w:rsidRPr="00911305">
        <w:t>: The framework is structured to support progressive autonomy deployment, enabling gradual transition from supervised autonomy to higher autonomy readiness levels without granting uncontrolled authority to learning-based components.</w:t>
      </w:r>
    </w:p>
    <w:p w14:paraId="36DF4859" w14:textId="77777777" w:rsidR="00911305" w:rsidRPr="00911305" w:rsidRDefault="00911305" w:rsidP="00911305">
      <w:r w:rsidRPr="00911305">
        <w:t>Collectively, these contributions establish a new theoretical perspective on Sim-to-Real transfer for spacecraft control, shifting the focus from isolated algorithmic robustness toward system-level, certifiable autonomy architectures.</w:t>
      </w:r>
    </w:p>
    <w:p w14:paraId="2086AED1" w14:textId="77777777" w:rsidR="00911305" w:rsidRDefault="00911305" w:rsidP="00911305"/>
    <w:p w14:paraId="205C0467" w14:textId="649A6519" w:rsidR="00D2490B" w:rsidRDefault="00EF0A15" w:rsidP="00EF0A15">
      <w:r w:rsidRPr="00EF0A15">
        <w:t>This paper proposes a seven-module Sim-to-Real transfer framework designed to improve robustness, safety, and autonomy readiness of DRL-based spacecraft controllers. The framework systematically integrates domain randomization techniques for robustness enhancement [4], safety- and certification-aware architectural constraints aligned with aerospace standards [6,7], and adaptive mechanisms to address residual simulation-to-reality mismatch. The framework is composed of the following modules:</w:t>
      </w:r>
      <w:r>
        <w:br/>
      </w:r>
    </w:p>
    <w:p w14:paraId="458200AB" w14:textId="0521AFD9" w:rsidR="00FA7D4A" w:rsidRDefault="00377B45" w:rsidP="00D2490B">
      <w:pPr>
        <w:rPr>
          <w:b/>
          <w:bCs/>
        </w:rPr>
      </w:pPr>
      <w:r w:rsidRPr="00FA7D4A">
        <w:rPr>
          <w:b/>
          <w:bCs/>
        </w:rPr>
        <w:t>Module 1: Simulation Environment Generator</w:t>
      </w:r>
    </w:p>
    <w:p w14:paraId="678720C3" w14:textId="19EB44A2" w:rsidR="00811A41" w:rsidRDefault="00811A41" w:rsidP="00811A41">
      <w:r w:rsidRPr="00811A41">
        <w:t>The Simulation Environment Generator is designed to support the framework’s emphasis on modularity and systematic Sim-to-Real reasoning by establishing a clear and controlled baseline for spacecraft attitude dynamics. By isolating nominal spacecraft modeling from uncertainty exposure and realism effects, this module directly supports the architectural separation between baseline dynamics, robustness enhancement, and hardware realism introduced in the framework design. This separation enables structured analysis of how subsequent robustness, safety, and adaptation layers influence policy behavior, while preserving a mathematically consistent reference model that facilitates verification, performance bounding, and certification-oriented reasoning.</w:t>
      </w:r>
    </w:p>
    <w:p w14:paraId="028D0DE9" w14:textId="77777777" w:rsidR="00FA7D4A" w:rsidRPr="00FA7D4A" w:rsidRDefault="00FA7D4A" w:rsidP="00FA7D4A">
      <w:r w:rsidRPr="00FA7D4A">
        <w:lastRenderedPageBreak/>
        <w:t>At this stage, the spacecraft is modeled as a rigid body governed by standard nonlinear rotational dynamics, expressed in quaternion or modified Rodrigues parameter form to avoid singularities. The nominal dynamics include rotational kinematics, inertia-coupled angular motion, and idealized actuator models, assuming full actuation and noise-free sensing. Environmental torques such as gravity-gradient effects, aerodynamic drag, and solar radiation pressure may be included in simplified analytical form to preserve physical consistency without introducing stochastic behavior at this level.</w:t>
      </w:r>
    </w:p>
    <w:p w14:paraId="785B6102" w14:textId="77777777" w:rsidR="00FA7D4A" w:rsidRPr="00FA7D4A" w:rsidRDefault="00FA7D4A" w:rsidP="00FA7D4A">
      <w:r w:rsidRPr="00FA7D4A">
        <w:t>The objective of the Simulation Environment Generator is not to capture the full complexity of real spacecraft behavior, but rather to define a mathematically consistent and controllable baseline domain. This baseline enables the Deep Reinforcement Learning (DRL) agent to first acquire fundamental control competencies such as attitude stabilization, large-angle maneuvering, and disturbance rejection under idealized conditions. Establishing this reference environment ensures that the learned policy develops a coherent internal representation of spacecraft dynamics before being exposed to uncertainty.</w:t>
      </w:r>
    </w:p>
    <w:p w14:paraId="64A580DD" w14:textId="77777777" w:rsidR="00FA7D4A" w:rsidRPr="00FA7D4A" w:rsidRDefault="00FA7D4A" w:rsidP="00FA7D4A">
      <w:r w:rsidRPr="00FA7D4A">
        <w:t>Importantly, this module enforces strict separation between nominal modeling and uncertainty modeling. All stochastic effects, parameter variations, sensor imperfections, and actuator nonlinearities are intentionally excluded at this stage and deferred to subsequent layers of the Sim-to-Real framework. This separation allows for systematic analysis of how each source of uncertainty influences policy robustness and transferability, rather than conflating baseline dynamics with realism effects during early learning.</w:t>
      </w:r>
    </w:p>
    <w:p w14:paraId="3C4D87DC" w14:textId="77777777" w:rsidR="00FA7D4A" w:rsidRPr="00FA7D4A" w:rsidRDefault="00FA7D4A" w:rsidP="00FA7D4A">
      <w:r w:rsidRPr="00FA7D4A">
        <w:t>From a theoretical standpoint, the Simulation Environment Generator also provides a reproducible abstraction that supports certification-oriented reasoning. By defining a clear nominal operating regime, it becomes possible to specify safety envelopes, performance bounds, and fallback behaviors relative to a known reference model. This property is essential for aligning DRL-based control architectures with aerospace assurance standards, where traceability and verifiability of system behavior are required.</w:t>
      </w:r>
    </w:p>
    <w:p w14:paraId="65F854CB" w14:textId="77777777" w:rsidR="00FA7D4A" w:rsidRDefault="00FA7D4A" w:rsidP="00FA7D4A">
      <w:r w:rsidRPr="00FA7D4A">
        <w:t>In summary, Module 1 establishes the controlled dynamical foundation upon which the entire Sim-to-Real transfer process is constructed. By isolating nominal spacecraft dynamics from uncertainty and realism effects, this module enables structured learning, principled robustness augmentation, and systematic progression toward flight-relevant autonomy.</w:t>
      </w:r>
    </w:p>
    <w:p w14:paraId="7CC5FB3B" w14:textId="77777777" w:rsidR="00FA7D4A" w:rsidRPr="00FA7D4A" w:rsidRDefault="00377B45" w:rsidP="00FA7D4A">
      <w:pPr>
        <w:rPr>
          <w:b/>
          <w:bCs/>
        </w:rPr>
      </w:pPr>
      <w:r>
        <w:br/>
      </w:r>
      <w:r w:rsidRPr="00FA7D4A">
        <w:rPr>
          <w:b/>
          <w:bCs/>
        </w:rPr>
        <w:t>Module 2: Domain Randomization Layer</w:t>
      </w:r>
    </w:p>
    <w:p w14:paraId="50F6DBDA" w14:textId="77777777" w:rsidR="00811A41" w:rsidRDefault="00811A41" w:rsidP="00E824A8">
      <w:r w:rsidRPr="00811A41">
        <w:t>The Domain Randomization Layer is introduced to explicitly address robustness and generalization as first-class design objectives within the Sim-to-Real framework. By exposing the learning agent to a structured distribution of system variations rather than a single nominal model, this module operationalizes robustness enhancement in a systematic and analyzable manner. Its separation from nominal modeling allows uncertainty ranges to be tuned independently based on mission class, risk tolerance, or certification considerations, supporting principled reasoning about the relationship between training diversity and real-world performance stability.</w:t>
      </w:r>
    </w:p>
    <w:p w14:paraId="0D9CAC12" w14:textId="779CAF1D" w:rsidR="00E824A8" w:rsidRDefault="00E824A8" w:rsidP="00E824A8">
      <w:r>
        <w:lastRenderedPageBreak/>
        <w:t>For spacecraft attitude control, domain randomization is applied across multiple sources of uncertainty. Variations in mass properties, including total mass and inertia tensor components, are introduced to reflect changes arising from fuel consumption, payload deployment, or structural reconfiguration. Actuation characteristics are randomized to capture reaction wheel torque limits, saturation effects, command delays, and partial loss of effectiveness, thereby emulating actuator degradation and fault conditions. Environmental disturbances, such as gravity-gradient torques, solar radiation pressure, and aerodynamic drag in low Earth orbit, are modeled as bounded stochastic processes whose magnitude and direction vary across training episodes.</w:t>
      </w:r>
    </w:p>
    <w:p w14:paraId="6A3B28EE" w14:textId="35C20CD5" w:rsidR="00E824A8" w:rsidRDefault="00E824A8" w:rsidP="00E824A8">
      <w:r>
        <w:t>Sensor-related uncertainties represent a critical component of this module. Measurement noise, bias drift, quantization effects, and intermittent observation degradation are incorporated into attitude and angular rate measurements. By exposing the DRL agent to imperfect observations, the training process discourages overreliance on idealized state information and promotes the development of noise-tolerant control policies.</w:t>
      </w:r>
    </w:p>
    <w:p w14:paraId="1F9211E2" w14:textId="2925388F" w:rsidR="00E824A8" w:rsidRDefault="00E824A8" w:rsidP="00E824A8">
      <w:r>
        <w:t>From a theoretical standpoint, the Domain Randomization Layer expands the learning problem from deterministic optimization to expectation-based policy synthesis over a family of environments. Instead of optimizing performance for a single nominal model, the policy minimizes expected control error across a distribution of dynamics, sensing, and actuation conditions. This formulation aligns with established domain randomization theory, which demonstrates that increased variability during training improves generalization and reduces sensitivity to modeling errors</w:t>
      </w:r>
      <w:r w:rsidR="00D9715E">
        <w:t xml:space="preserve"> </w:t>
      </w:r>
      <w:r>
        <w:t>an essential requirement for safety-critical spacecraft applications.</w:t>
      </w:r>
    </w:p>
    <w:p w14:paraId="3767DC0E" w14:textId="58E0B628" w:rsidR="00E824A8" w:rsidRDefault="00E824A8" w:rsidP="00E824A8">
      <w:r>
        <w:t>Importantly, this module operates independently of the nominal simulation environment defined in Module 1. Such separation enables systematic analysis of robustness contributions without modifying the baseline physical model and allows randomization ranges to be tailored according to mission phase, spacecraft class, or certification constraints.</w:t>
      </w:r>
    </w:p>
    <w:p w14:paraId="402EA79B" w14:textId="77777777" w:rsidR="00E824A8" w:rsidRDefault="00E824A8" w:rsidP="00E824A8">
      <w:r>
        <w:t>In summary, Module 2 transforms reinforcement learning from deterministic control training into robustness-oriented policy optimization. By deliberately exposing the DRL agent to off-nominal and worst-case conditions, this layer establishes the foundation for reliable Sim-to-Real transfer and prepares the controller for the uncertainty-rich operational environment of real spacecraft.</w:t>
      </w:r>
    </w:p>
    <w:p w14:paraId="497FD21E" w14:textId="7748D55F" w:rsidR="00FA7D4A" w:rsidRDefault="000279C3" w:rsidP="00E824A8">
      <w:pPr>
        <w:rPr>
          <w:noProof/>
          <w:color w:val="1F497D" w:themeColor="text2"/>
        </w:rPr>
      </w:pPr>
      <w:r w:rsidRPr="000279C3">
        <w:rPr>
          <w:noProof/>
        </w:rPr>
        <w:t xml:space="preserve">Figure 3 illustrates the conceptual role of domain randomization within the proposed Sim-to-Real transfer framework. Rather than optimizing a control policy for a single nominal spacecraft model, domain randomization exposes the learning agent to a distribution of plausible environments during training. By systematically varying physical parameters, sensing characteristics, and actuation constraints across training episodes, the resulting policy learns invariant control strategies that are </w:t>
      </w:r>
      <w:r w:rsidRPr="000279C3">
        <w:rPr>
          <w:noProof/>
        </w:rPr>
        <w:lastRenderedPageBreak/>
        <w:t>less sensitive to modeling errors and unanticipated real-world conditions.</w:t>
      </w:r>
      <w:r w:rsidRPr="000279C3">
        <w:rPr>
          <w:noProof/>
        </w:rPr>
        <w:br/>
      </w:r>
      <w:r w:rsidR="00573AF3">
        <w:rPr>
          <w:noProof/>
          <w:color w:val="1F497D" w:themeColor="text2"/>
        </w:rPr>
        <w:drawing>
          <wp:inline distT="0" distB="0" distL="0" distR="0" wp14:anchorId="31F48380" wp14:editId="09711BA9">
            <wp:extent cx="5808133" cy="3267075"/>
            <wp:effectExtent l="0" t="0" r="2540" b="0"/>
            <wp:docPr id="1021811463" name="Picture 3"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11463" name="Picture 3" descr="A diagram of a model&#10;&#10;AI-generated content may be incorrect."/>
                    <pic:cNvPicPr/>
                  </pic:nvPicPr>
                  <pic:blipFill>
                    <a:blip r:embed="rId11"/>
                    <a:stretch>
                      <a:fillRect/>
                    </a:stretch>
                  </pic:blipFill>
                  <pic:spPr>
                    <a:xfrm>
                      <a:off x="0" y="0"/>
                      <a:ext cx="5810157" cy="3268214"/>
                    </a:xfrm>
                    <a:prstGeom prst="rect">
                      <a:avLst/>
                    </a:prstGeom>
                  </pic:spPr>
                </pic:pic>
              </a:graphicData>
            </a:graphic>
          </wp:inline>
        </w:drawing>
      </w:r>
    </w:p>
    <w:p w14:paraId="2124EFDC" w14:textId="77777777" w:rsidR="000279C3" w:rsidRDefault="000279C3" w:rsidP="000279C3">
      <w:pPr>
        <w:jc w:val="center"/>
      </w:pPr>
      <w:r w:rsidRPr="000279C3">
        <w:rPr>
          <w:b/>
          <w:bCs/>
          <w:color w:val="17365D" w:themeColor="text2" w:themeShade="BF"/>
        </w:rPr>
        <w:t>Figure 3.</w:t>
      </w:r>
      <w:r w:rsidRPr="000279C3">
        <w:rPr>
          <w:color w:val="17365D" w:themeColor="text2" w:themeShade="BF"/>
        </w:rPr>
        <w:t xml:space="preserve"> Conceptual illustration of domain randomization applied during Deep Reinforcement Learning training for spacecraft attitude control. Variations in spacecraft dynamics, sensing, actuation, and environmental disturbances are introduced across multiple training environments, enabling the learned policy to optimize expected performance over a distribution of conditions and thereby improve robustness and generalization for Sim-to-Real transfer.</w:t>
      </w:r>
    </w:p>
    <w:p w14:paraId="40C72EE1" w14:textId="77EB839C" w:rsidR="00FA7D4A" w:rsidRDefault="00377B45" w:rsidP="000279C3">
      <w:r w:rsidRPr="00FA7D4A">
        <w:rPr>
          <w:b/>
          <w:bCs/>
        </w:rPr>
        <w:t>Module 3: Sensor and Actuator Realism Modeling</w:t>
      </w:r>
    </w:p>
    <w:p w14:paraId="09D37A4C" w14:textId="77777777" w:rsidR="00811A41" w:rsidRDefault="00811A41" w:rsidP="00E824A8">
      <w:r w:rsidRPr="00811A41">
        <w:t>The Sensor and Actuator Realism Modeling module is designed to bridge the gap between abstract robustness exposure and physically grounded system behavior. While domain randomization addresses variability at a statistical level, this module introduces hardware-consistent imperfections that reflect how real spacecraft sensors and actuators deviate from ideal operation. By treating sensing and actuation realism as a distinct architectural layer, the framework enables targeted analysis of output-feedback effects and actuator constraints, reinforcing transfer reliability without conflating physical realism with stochastic uncertainty during early learning stages.</w:t>
      </w:r>
    </w:p>
    <w:p w14:paraId="48C9C35C" w14:textId="6BC1EDFA" w:rsidR="00E824A8" w:rsidRDefault="00E824A8" w:rsidP="00E824A8">
      <w:r>
        <w:t>On the sensing side, this module models imperfections in attitude and angular rate measurements obtained from onboard sensors such as gyroscopes, magnetometers, and star trackers. These models include additive noise, bias instability, slow drift, quantization effects, and intermittent measurement degradation. By introducing these effects at the observation level, the DRL agent is prevented from relying on unrealistically precise state information and instead learns control policies that are robust to state estimation errors.</w:t>
      </w:r>
    </w:p>
    <w:p w14:paraId="7F587EAE" w14:textId="77777777" w:rsidR="00E824A8" w:rsidRDefault="00E824A8" w:rsidP="00E824A8"/>
    <w:p w14:paraId="15C76A1B" w14:textId="69DCA864" w:rsidR="00E824A8" w:rsidRDefault="00E824A8" w:rsidP="00E824A8">
      <w:r>
        <w:lastRenderedPageBreak/>
        <w:t>Actuator realism is represented through non-ideal torque generation and execution dynamics. Reaction wheel and control moment gyro behavior is modeled using saturation limits, rate constraints, torque quantization, command latency, and partial loss of effectiveness. Structured fault and degradation scenarios, such as reduced torque authority or intermittent failures, are incorporated as persistent actuation limitations rather than random disturbances, enabling the learning agent to adapt its control strategy to consistent hardware constraints.</w:t>
      </w:r>
    </w:p>
    <w:p w14:paraId="57F92C8F" w14:textId="79707245" w:rsidR="00E824A8" w:rsidRDefault="00E824A8" w:rsidP="00E824A8">
      <w:r>
        <w:t>From a theoretical perspective, this module transforms the learning problem from perfect-state feedback control to output-feedback control under uncertainty. The DRL policy must infer appropriate actions from imperfect observations and delayed or distorted actuation responses, reflecting the conditions encountered in operational spacecraft. This formulation aligns with practical flight software architectures, where control decisions are based on filtered sensor data and executed through actuators with finite bandwidth and reliability.</w:t>
      </w:r>
    </w:p>
    <w:p w14:paraId="6B3E0773" w14:textId="24EED50F" w:rsidR="00E824A8" w:rsidRDefault="00E824A8" w:rsidP="00E824A8">
      <w:r>
        <w:t>Importantly, Sensor and Actuator Realism Modeling is treated as a distinct layer within the Sim-to-Real framework rather than being merged into general domain randomization. This separation enables systematic analysis of how specific hardware imperfections influence control performance and policy robustness, and allows individual sensor or actuator models to be refined as improved component specifications or flight data become available.</w:t>
      </w:r>
    </w:p>
    <w:p w14:paraId="0DA85086" w14:textId="77777777" w:rsidR="00E824A8" w:rsidRDefault="00E824A8" w:rsidP="00E824A8">
      <w:r>
        <w:t>In summary, Module 3 grounds the learning process in realistic input–output behavior without requiring physical experimentation. By explicitly modeling sensor imperfections and actuator limitations, this module strengthens the robustness and transferability of DRL-based controllers and reinforces the overall Sim-to-Real capability of the proposed framework.</w:t>
      </w:r>
    </w:p>
    <w:p w14:paraId="28D60C27" w14:textId="7704C938" w:rsidR="00FA7D4A" w:rsidRDefault="00377B45" w:rsidP="00E824A8">
      <w:pPr>
        <w:rPr>
          <w:b/>
          <w:bCs/>
        </w:rPr>
      </w:pPr>
      <w:r>
        <w:br/>
      </w:r>
      <w:r w:rsidRPr="00FA7D4A">
        <w:rPr>
          <w:b/>
          <w:bCs/>
        </w:rPr>
        <w:t>Module 4: Robust DRL Training Engine</w:t>
      </w:r>
    </w:p>
    <w:p w14:paraId="3CA8207B" w14:textId="0E40467B" w:rsidR="00E824A8" w:rsidRDefault="00811A41" w:rsidP="00E824A8">
      <w:r w:rsidRPr="00811A41">
        <w:t>The Robust DRL Training Engine serves as the central policy synthesis component of the framework, designed to prioritize stability and generalization rather than nominal performance optimization. Its role within the architecture is to integrate uncertainty-aware training objectives with control-relevant performance criteria, ensuring that learned policies remain effective across the diverse operating conditions introduced by preceding modules. By decoupling policy learning from safety enforcement and runtime supervision, this module preserves learning flexibility while maintaining compatibility with certification-oriented control architectures.</w:t>
      </w:r>
    </w:p>
    <w:p w14:paraId="18F2E454" w14:textId="77777777" w:rsidR="00E824A8" w:rsidRDefault="00E824A8" w:rsidP="00E824A8">
      <w:r>
        <w:t>Policy optimization within this framework is assumed to employ modern continuous-control DRL algorithms such as Proximal Policy Optimization (PPO) or Twin Delayed Deep Deterministic Policy Gradient (TD3), which have demonstrated stability and effectiveness in high-dimensional continuous action spaces relevant to spacecraft attitude control. Importantly, the contribution of this module lies not in the selection of a specific algorithm, but in the formulation of a learning process that is inherently uncertainty-aware and compatible with safety-constrained deployment.</w:t>
      </w:r>
    </w:p>
    <w:p w14:paraId="392E3598" w14:textId="77777777" w:rsidR="00E824A8" w:rsidRDefault="00E824A8" w:rsidP="00E824A8"/>
    <w:p w14:paraId="3CCAE235" w14:textId="77777777" w:rsidR="00E824A8" w:rsidRDefault="00E824A8" w:rsidP="00E824A8">
      <w:r>
        <w:lastRenderedPageBreak/>
        <w:t>Reward shaping is structured to balance multiple competing objectives. In addition to minimizing attitude error and angular rate deviation, the reward function incorporates penalties on excessive control effort, abrupt torque variations, and prolonged settling times. These terms promote smooth, energy-efficient control behavior consistent with actuator limitations and operational constraints. Stability-oriented penalties further discourage oscillatory or aggressive actions that may arise under noisy observations or delayed actuation, reinforcing reliable closed-loop behavior.</w:t>
      </w:r>
    </w:p>
    <w:p w14:paraId="4E54EADD" w14:textId="77777777" w:rsidR="00E824A8" w:rsidRDefault="00E824A8" w:rsidP="00E824A8"/>
    <w:p w14:paraId="2AC2F16F" w14:textId="77777777" w:rsidR="00E824A8" w:rsidRDefault="00E824A8" w:rsidP="00E824A8">
      <w:r>
        <w:t>From a theoretical standpoint, the Robust DRL Training Engine operates under an expectation-based optimization paradigm. Because training occurs over a randomized distribution of system dynamics, sensing imperfections, and actuator constraints, the resulting policy minimizes expected performance loss across a family of environments rather than optimizing for a single nominal model. This formulation encourages the emergence of invariant control strategies that are less sensitive to modeling errors and parameter mismatch, which is essential for reliable Sim-to-Real transfer.</w:t>
      </w:r>
    </w:p>
    <w:p w14:paraId="13B4FE4D" w14:textId="77777777" w:rsidR="00E824A8" w:rsidRDefault="00E824A8" w:rsidP="00E824A8"/>
    <w:p w14:paraId="218C94AF" w14:textId="77777777" w:rsidR="00E824A8" w:rsidRDefault="00E824A8" w:rsidP="00E824A8">
      <w:r>
        <w:t>Crucially, this module is designed to interface seamlessly with safety mechanisms introduced in later stages of the framework. While the training engine focuses on policy learning, it assumes the presence of external supervisory layers capable of constraining or overriding unsafe actions during both training and deployment. This separation of learning and safety responsibilities enables effective exploration of the control space while maintaining compatibility with certification-oriented control architectures.</w:t>
      </w:r>
    </w:p>
    <w:p w14:paraId="2930C6B5" w14:textId="77777777" w:rsidR="00E824A8" w:rsidRDefault="00E824A8" w:rsidP="00E824A8"/>
    <w:p w14:paraId="71506373" w14:textId="77777777" w:rsidR="00E824A8" w:rsidRDefault="00E824A8" w:rsidP="00E824A8">
      <w:r>
        <w:t>In summary, Module 4 transforms reinforcement learning from a performance-driven optimization process into a robustness-focused control synthesis mechanism. By integrating uncertainty-aware reward design, stability considerations, and architectural compatibility with safety constraints, the Robust DRL Training Engine produces policies that are theoretically well suited for transfer from simulation to real spacecraft environments.</w:t>
      </w:r>
    </w:p>
    <w:p w14:paraId="595090EC" w14:textId="76F6B37B" w:rsidR="00FA7D4A" w:rsidRDefault="00377B45" w:rsidP="00E824A8">
      <w:pPr>
        <w:rPr>
          <w:b/>
          <w:bCs/>
        </w:rPr>
      </w:pPr>
      <w:r>
        <w:br/>
      </w:r>
      <w:r w:rsidRPr="00FA7D4A">
        <w:rPr>
          <w:b/>
          <w:bCs/>
        </w:rPr>
        <w:t>Module 5: Safety and Certification Envelope</w:t>
      </w:r>
    </w:p>
    <w:p w14:paraId="26FBF064" w14:textId="77777777" w:rsidR="00811A41" w:rsidRDefault="00811A41" w:rsidP="002F7C19">
      <w:r w:rsidRPr="00811A41">
        <w:t>The Safety and Certification Envelope is introduced to explicitly separate learning-based decision making from safety-critical control authority. This architectural choice reflects established aerospace assurance principles, where deterministic and verifiable mechanisms govern safety-relevant behavior. By constraining and supervising DRL policy outputs through predefined operational limits and fallback logic, this module enables learning-based control to be integrated into spacecraft systems without violating certification assumptions, thereby addressing a key barrier to real-world deployment of DRL-based controllers.</w:t>
      </w:r>
    </w:p>
    <w:p w14:paraId="4AAF0347" w14:textId="7F6A283D" w:rsidR="002F7C19" w:rsidRDefault="002F7C19" w:rsidP="47A1B0EB">
      <w:r>
        <w:t xml:space="preserve">At a functional level, the Safety and Certification Envelope operate as an action-validation and filtering mechanism. Control commands generated by the DRL policy are evaluated against </w:t>
      </w:r>
      <w:r>
        <w:lastRenderedPageBreak/>
        <w:t>predefined safety constraints derived from spacecraft operational limits and mission requirements. These constraints include actuator saturation bounds, rate limits, momentum storage thresholds, and stability margins. Actions that violate these constraints are either modified to remain within acceptable limits or rejected in favor of predefined safe alternatives.</w:t>
      </w:r>
      <w:r w:rsidR="6F57D4D0" w:rsidRPr="47A1B0EB">
        <w:rPr>
          <w:rFonts w:ascii="Cambria" w:eastAsia="Cambria" w:hAnsi="Cambria" w:cs="Cambria"/>
        </w:rPr>
        <w:t xml:space="preserve"> To formalize this supervisory mechanism, the Safety and Certification Envelope can be modeled as a constrained action set that restricts admissible control commands within predefined operational bounds.</w:t>
      </w:r>
    </w:p>
    <w:p w14:paraId="5B24853F" w14:textId="6DECAA54" w:rsidR="47A1B0EB" w:rsidRDefault="47A1B0EB" w:rsidP="1D872806">
      <m:oMathPara>
        <m:oMath>
          <m:r>
            <m:rPr>
              <m:scr m:val="script"/>
            </m:rPr>
            <w:rPr>
              <w:rFonts w:ascii="Cambria Math" w:hAnsi="Cambria Math"/>
            </w:rPr>
            <m:t>C=</m:t>
          </m:r>
          <m:r>
            <w:rPr>
              <w:rFonts w:ascii="Cambria Math" w:hAnsi="Cambria Math"/>
            </w:rPr>
            <m:t>τ_c</m:t>
          </m:r>
          <m:r>
            <m:rPr>
              <m:scr m:val="double-struck"/>
            </m:rPr>
            <w:rPr>
              <w:rFonts w:ascii="Cambria Math" w:hAnsi="Cambria Math"/>
            </w:rPr>
            <m:t>∈R^</m:t>
          </m:r>
          <m:r>
            <w:rPr>
              <w:rFonts w:ascii="Cambria Math" w:hAnsi="Cambria Math"/>
            </w:rPr>
            <m:t>3|τ_min≤τ_c≤τ_max,||ω||≤ω_max </m:t>
          </m:r>
        </m:oMath>
      </m:oMathPara>
    </w:p>
    <w:p w14:paraId="7C7393BA" w14:textId="1DCD72B2" w:rsidR="392038C8" w:rsidRDefault="392038C8" w:rsidP="47A1B0EB">
      <w:pPr>
        <w:rPr>
          <w:rFonts w:ascii="Cambria" w:eastAsia="Cambria" w:hAnsi="Cambria" w:cs="Cambria"/>
        </w:rPr>
      </w:pPr>
      <w:r w:rsidRPr="47A1B0EB">
        <w:rPr>
          <w:rFonts w:ascii="Cambria" w:eastAsia="Cambria" w:hAnsi="Cambria" w:cs="Cambria"/>
        </w:rPr>
        <w:t xml:space="preserve">where </w:t>
      </w:r>
      <m:oMath>
        <m:r>
          <w:rPr>
            <w:rFonts w:ascii="Cambria Math" w:hAnsi="Cambria Math"/>
          </w:rPr>
          <m:t>πθ​</m:t>
        </m:r>
        <m:d>
          <m:dPr>
            <m:ctrlPr>
              <w:rPr>
                <w:rFonts w:ascii="Cambria Math" w:hAnsi="Cambria Math"/>
              </w:rPr>
            </m:ctrlPr>
          </m:dPr>
          <m:e>
            <m:r>
              <w:rPr>
                <w:rFonts w:ascii="Cambria Math" w:hAnsi="Cambria Math"/>
              </w:rPr>
              <m:t>s</m:t>
            </m:r>
          </m:e>
        </m:d>
      </m:oMath>
      <w:r w:rsidRPr="47A1B0EB">
        <w:rPr>
          <w:rFonts w:ascii="Cambria" w:eastAsia="Cambria" w:hAnsi="Cambria" w:cs="Cambria"/>
        </w:rPr>
        <w:t xml:space="preserve"> is the raw DRL policy output and </w:t>
      </w:r>
      <m:oMath>
        <m:r>
          <m:rPr>
            <m:sty m:val="p"/>
          </m:rPr>
          <w:rPr>
            <w:rFonts w:ascii="Cambria Math" w:hAnsi="Cambria Math"/>
          </w:rPr>
          <m:t>Π</m:t>
        </m:r>
        <m:r>
          <w:rPr>
            <w:rFonts w:ascii="Cambria Math" w:hAnsi="Cambria Math"/>
          </w:rPr>
          <m:t>C </m:t>
        </m:r>
      </m:oMath>
      <w:r w:rsidRPr="47A1B0EB">
        <w:rPr>
          <w:rFonts w:ascii="Cambria" w:eastAsia="Cambria" w:hAnsi="Cambria" w:cs="Cambria"/>
        </w:rPr>
        <w:t xml:space="preserve">  denotes a projection operator that enforces compliance with the admissible control set C.</w:t>
      </w:r>
      <w:r w:rsidR="7E614083" w:rsidRPr="47A1B0EB">
        <w:rPr>
          <w:rFonts w:ascii="Cambria" w:eastAsia="Cambria" w:hAnsi="Cambria" w:cs="Cambria"/>
        </w:rPr>
        <w:t xml:space="preserve"> This formulation ensures that the executed control command remains within certifiable safety bounds even if the learning-based policy produces off-nominal outputs.</w:t>
      </w:r>
    </w:p>
    <w:p w14:paraId="040FC5B6" w14:textId="2C05FE0E" w:rsidR="002F7C19" w:rsidRDefault="002F7C19" w:rsidP="002F7C19">
      <w:r>
        <w:t>From a certification perspective, this module enables a clear separation of concerns between learning-based decision making and safety assurance. The DRL policy is treated as a performance-enhancing component, while the envelope enforces deterministic, verifiable rules aligned with established aerospace standards such as NASA system safety principles and ECSS software assurance guidelines. This architectural separation facilitates traceability and supports formal reasoning about system behavior despite the stochastic nature of learning-based components.</w:t>
      </w:r>
    </w:p>
    <w:p w14:paraId="353B745E" w14:textId="75E67107" w:rsidR="002F7C19" w:rsidRDefault="002F7C19" w:rsidP="002F7C19">
      <w:r>
        <w:t>The Safety and Certification Envelope also incorporate runtime constraint monitoring and confidence assessment. By continuously evaluating the consistency and stability of policy outputs, the system can detect anomalous behavior indicative of model mismatch, sensor degradation, or unanticipated operating conditions. In such cases, the envelope triggers a controlled degradation of autonomy, transitioning authority to a conventional analytical controller or predefined safe-mode logic. This fallback capability is essential for maintaining mission safety under off-nominal conditions and is consistent with established spacecraft fault management practices.</w:t>
      </w:r>
    </w:p>
    <w:p w14:paraId="30A7D87F" w14:textId="0631141B" w:rsidR="002F7C19" w:rsidRDefault="002F7C19" w:rsidP="002F7C19">
      <w:r>
        <w:t>Importantly, this module is designed to align with emerging AI assurance frameworks that emphasize explainability, bounded decision making, and runtime guarantees. By constraining the action space and enforcing explicit operational rules, the Safety and Certification Envelope reduce the effective complexity of the DRL policy from the perspective of certification authorities, enabling partial verification of system behavior without requiring full interpretability of the underlying neural network.</w:t>
      </w:r>
    </w:p>
    <w:p w14:paraId="1C3D0A08" w14:textId="77777777" w:rsidR="002F7C19" w:rsidRDefault="002F7C19" w:rsidP="002F7C19">
      <w:r>
        <w:t>In summary, Module 5 provides the architectural foundation necessary to integrate DRL-based controllers into safety-critical spacecraft systems. By embedding deterministic safety constraints, runtime supervision, and structured fallback mechanisms, this module bridges the gap between learning-enabled control and aerospace certification requirements, enabling the practical adoption of Sim-to-Real DRL frameworks in operational missions.</w:t>
      </w:r>
    </w:p>
    <w:p w14:paraId="7DEF162A" w14:textId="752EB75B" w:rsidR="00FA7D4A" w:rsidRPr="00FA7D4A" w:rsidRDefault="00377B45" w:rsidP="002F7C19">
      <w:pPr>
        <w:rPr>
          <w:b/>
          <w:bCs/>
        </w:rPr>
      </w:pPr>
      <w:r>
        <w:br/>
      </w:r>
      <w:r w:rsidRPr="00FA7D4A">
        <w:rPr>
          <w:b/>
          <w:bCs/>
        </w:rPr>
        <w:t>Module 6: Transfer Adaptation Module</w:t>
      </w:r>
    </w:p>
    <w:p w14:paraId="635DFCB4" w14:textId="7B4C4E5E" w:rsidR="00811A41" w:rsidRDefault="00811A41" w:rsidP="47A1B0EB">
      <w:r>
        <w:lastRenderedPageBreak/>
        <w:t>The Transfer Adaptation Module is designed to address long-term operational discrepancies that cannot be fully captured during offline training. Rather than enabling unrestricted online learning, this module introduces a constrained adaptation mechanism that operates under safety supervision. Its placement after safety enforcement ensures that post-deployment refinement enhances robustness while preserving validated behavior envelopes, supporting sustained autonomy in long-duration missions without undermining certification or predictability.</w:t>
      </w:r>
      <w:r w:rsidR="7983501E" w:rsidRPr="47A1B0EB">
        <w:rPr>
          <w:rFonts w:ascii="Cambria" w:eastAsia="Cambria" w:hAnsi="Cambria" w:cs="Cambria"/>
        </w:rPr>
        <w:t xml:space="preserve"> </w:t>
      </w:r>
    </w:p>
    <w:p w14:paraId="1B306B98" w14:textId="7F13EB80" w:rsidR="00811A41" w:rsidRDefault="7983501E" w:rsidP="47A1B0EB">
      <w:r w:rsidRPr="47A1B0EB">
        <w:rPr>
          <w:rFonts w:ascii="Cambria" w:eastAsia="Cambria" w:hAnsi="Cambria" w:cs="Cambria"/>
        </w:rPr>
        <w:t>To prevent uncontrolled online learning, adaptation is constrained within bounded parameter updates.</w:t>
      </w:r>
    </w:p>
    <w:p w14:paraId="58082E2E" w14:textId="51E65ECE" w:rsidR="47A1B0EB" w:rsidRDefault="00000000" w:rsidP="1D872806">
      <m:oMath>
        <m:sSub>
          <m:sSubPr>
            <m:ctrlPr>
              <w:rPr>
                <w:rFonts w:ascii="Cambria Math" w:hAnsi="Cambria Math"/>
              </w:rPr>
            </m:ctrlPr>
          </m:sSubPr>
          <m:e>
            <m:r>
              <w:rPr>
                <w:rFonts w:ascii="Cambria Math" w:hAnsi="Cambria Math"/>
              </w:rPr>
              <m:t>θ</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t</m:t>
            </m:r>
          </m:sub>
        </m:sSub>
        <m:r>
          <w:rPr>
            <w:rFonts w:ascii="Cambria Math" w:hAnsi="Cambria Math"/>
          </w:rPr>
          <m:t>+η·</m:t>
        </m:r>
        <m:r>
          <m:rPr>
            <m:sty m:val="p"/>
          </m:rP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t</m:t>
            </m:r>
          </m:sub>
        </m:sSub>
        <m:r>
          <w:rPr>
            <w:rFonts w:ascii="Cambria Math" w:hAnsi="Cambria Math"/>
          </w:rPr>
          <m:t>, subject to </m:t>
        </m:r>
        <m:d>
          <m:dPr>
            <m:begChr m:val="‖"/>
            <m:endChr m:val="‖"/>
            <m:ctrlPr>
              <w:rPr>
                <w:rFonts w:ascii="Cambria Math" w:hAnsi="Cambria Math"/>
              </w:rPr>
            </m:ctrlPr>
          </m:dPr>
          <m:e>
            <m:r>
              <m:rPr>
                <m:sty m:val="p"/>
              </m:rP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t</m:t>
                </m:r>
              </m:sub>
            </m:sSub>
          </m:e>
        </m:d>
        <m:r>
          <w:rPr>
            <w:rFonts w:ascii="Cambria Math" w:hAnsi="Cambria Math"/>
          </w:rPr>
          <m:t>≤δ</m:t>
        </m:r>
      </m:oMath>
      <w:r w:rsidR="4C5D278F">
        <w:t xml:space="preserve">                   </w:t>
      </w:r>
    </w:p>
    <w:p w14:paraId="04849047" w14:textId="04031F59" w:rsidR="6A0671EE" w:rsidRDefault="6A0671EE" w:rsidP="00F753A3">
      <w:pPr>
        <w:jc w:val="left"/>
        <w:rPr>
          <w:rFonts w:ascii="Cambria" w:eastAsia="Cambria" w:hAnsi="Cambria" w:cs="Cambria"/>
        </w:rPr>
      </w:pPr>
      <w:r w:rsidRPr="47A1B0EB">
        <w:rPr>
          <w:rFonts w:ascii="Cambria" w:eastAsia="Cambria" w:hAnsi="Cambria" w:cs="Cambria"/>
        </w:rPr>
        <w:t>where</w:t>
      </w:r>
      <w:r>
        <w:br/>
      </w:r>
      <w:r w:rsidRPr="47A1B0EB">
        <w:rPr>
          <w:rFonts w:ascii="Cambria" w:eastAsia="Cambria" w:hAnsi="Cambria" w:cs="Cambria"/>
        </w:rPr>
        <w:t xml:space="preserve"> θ_t</w:t>
      </w:r>
      <w:r w:rsidR="01AF649E" w:rsidRPr="47A1B0EB">
        <w:rPr>
          <w:rFonts w:ascii="Cambria" w:eastAsia="Cambria" w:hAnsi="Cambria" w:cs="Cambria"/>
        </w:rPr>
        <w:t xml:space="preserve"> </w:t>
      </w:r>
      <w:r w:rsidRPr="47A1B0EB">
        <w:rPr>
          <w:rFonts w:ascii="Cambria" w:eastAsia="Cambria" w:hAnsi="Cambria" w:cs="Cambria"/>
        </w:rPr>
        <w:t xml:space="preserve"> represents the policy parameter vector at time t,</w:t>
      </w:r>
      <w:r>
        <w:br/>
      </w:r>
      <w:r w:rsidRPr="47A1B0EB">
        <w:rPr>
          <w:rFonts w:ascii="Cambria" w:eastAsia="Cambria" w:hAnsi="Cambria" w:cs="Cambria"/>
        </w:rPr>
        <w:t xml:space="preserve"> η is a bounded adaptation gain (learning rate),</w:t>
      </w:r>
      <w:r>
        <w:br/>
      </w:r>
      <w:r w:rsidRPr="47A1B0EB">
        <w:rPr>
          <w:rFonts w:ascii="Cambria" w:eastAsia="Cambria" w:hAnsi="Cambria" w:cs="Cambria"/>
        </w:rPr>
        <w:t xml:space="preserve"> Δθ_t denotes the parameter adjustment direction derived from observed model mismatch, and</w:t>
      </w:r>
      <w:r>
        <w:br/>
      </w:r>
      <w:r w:rsidRPr="47A1B0EB">
        <w:rPr>
          <w:rFonts w:ascii="Cambria" w:eastAsia="Cambria" w:hAnsi="Cambria" w:cs="Cambria"/>
        </w:rPr>
        <w:t xml:space="preserve"> δ defines the maximum allowable parameter update magnitude within the certified operational envelope.</w:t>
      </w:r>
    </w:p>
    <w:p w14:paraId="3D45ABD2" w14:textId="51F766D2" w:rsidR="002F7C19" w:rsidRDefault="002F7C19" w:rsidP="002F7C19">
      <w:r>
        <w:t>Unlike conventional online learning approaches that continuously update policy parameters, the proposed adaptation mechanism operates within tightly constrained boundaries. Adaptation is restricted to low-risk refinement processes, such as adjusting internal normalization parameters, updating uncertainty estimates, or fine-tuning policy representations using bounded learning rates. These constraints ensure that the controller remains within its validated operational envelope while gradually compensating for systematic deviations between simulated and real dynamics.</w:t>
      </w:r>
    </w:p>
    <w:p w14:paraId="2B1C5543" w14:textId="702A90C2" w:rsidR="002F7C19" w:rsidRDefault="002F7C19" w:rsidP="002F7C19">
      <w:r>
        <w:t>From a theoretical perspective, the Transfer Adaptation Module functions as an uncertainty-aware refinement layer. Rather than relearning control behavior from scratch, the DRL policy incrementally adjusts its response based on discrepancies between expected and observed system behavior. Such discrepancies may arise from slow-varying effects including sensor aging, actuator wear, thermal drift, fuel consumption, or structural changes over the mission lifetime.</w:t>
      </w:r>
    </w:p>
    <w:p w14:paraId="03B88FDE" w14:textId="687BCB13" w:rsidR="002F7C19" w:rsidRDefault="002F7C19" w:rsidP="002F7C19">
      <w:r>
        <w:t>All adaptation processes are explicitly supervised by the Safety and Certification Envelope described in Module 5. Any parameter updates or behavioral adjustments are evaluated against predefined safety constraints, and adaptation is suspended if anomalous or unstable behavior is detected. This supervisory coupling ensures that adaptation enhances robustness without introducing uncontrolled exploration or violating certification assumptions.</w:t>
      </w:r>
    </w:p>
    <w:p w14:paraId="5A73DC49" w14:textId="77777777" w:rsidR="002F7C19" w:rsidRDefault="002F7C19" w:rsidP="002F7C19">
      <w:r>
        <w:t>The Transfer Adaptation Module also supports mission-phase–dependent operation. Adaptation mechanisms may be selectively enabled or disabled depending on operational context, such as commissioning, nominal operations, or contingency response. This flexibility allows spacecraft operators to balance autonomy and predictability in accordance with mission risk tolerance while still benefiting from learning-based refinement when appropriate.</w:t>
      </w:r>
    </w:p>
    <w:p w14:paraId="29D6D5E8" w14:textId="77777777" w:rsidR="002F7C19" w:rsidRDefault="002F7C19" w:rsidP="002F7C19"/>
    <w:p w14:paraId="659AE794" w14:textId="77777777" w:rsidR="002F7C19" w:rsidRDefault="002F7C19" w:rsidP="002F7C19">
      <w:r>
        <w:lastRenderedPageBreak/>
        <w:t>In summary, Module 6 provides a certification-compatible mechanism for bridging the final gap between simulation-trained policies and long-duration spacecraft operation. By enabling constrained, safety-supervised adaptation, this module ensures that DRL-based controllers remain effective and reliable over time, reinforcing the overall Sim-to-Real transfer capability of the proposed framework.</w:t>
      </w:r>
    </w:p>
    <w:p w14:paraId="27A743BF" w14:textId="77777777" w:rsidR="002F7C19" w:rsidRDefault="002F7C19" w:rsidP="002F7C19"/>
    <w:p w14:paraId="1794ACA3" w14:textId="02B2FD2C" w:rsidR="001A2E43" w:rsidRDefault="00377B45" w:rsidP="002F7C19">
      <w:pPr>
        <w:rPr>
          <w:b/>
          <w:bCs/>
        </w:rPr>
      </w:pPr>
      <w:r>
        <w:br/>
      </w:r>
      <w:r w:rsidRPr="00DA6260">
        <w:rPr>
          <w:b/>
          <w:bCs/>
        </w:rPr>
        <w:t>Module 7: Onboard Runtime Monitoring</w:t>
      </w:r>
    </w:p>
    <w:p w14:paraId="181325A7" w14:textId="77777777" w:rsidR="00E745C5" w:rsidRDefault="00E745C5" w:rsidP="00602275">
      <w:r w:rsidRPr="00E745C5">
        <w:t>The Onboard Runtime Monitoring and Fail-Safe Layer provides the final assurance mechanism within the Sim-to-Real framework, ensuring continuous validation of autonomous behavior during operation. By monitoring externally observable system performance rather than internal policy representations, this module remains compatible with black-box learning architectures while enforcing deterministic intervention logic. Its inclusion completes the certification-aware design by enabling fault containment, graceful degradation, and traceability, which are essential requirements for safety-critical spacecraft control systems.</w:t>
      </w:r>
    </w:p>
    <w:p w14:paraId="21623F57" w14:textId="199DC964" w:rsidR="00602275" w:rsidRPr="00602275" w:rsidRDefault="00602275" w:rsidP="00602275">
      <w:r w:rsidRPr="00602275">
        <w:t>This module operates by monitoring key indicators of control performance and system health, including attitude error evolution, angular rate stability, actuator command consistency, and safety constraint utilization. Deviations from expected behavior</w:t>
      </w:r>
      <w:r w:rsidR="00E745C5">
        <w:t xml:space="preserve"> </w:t>
      </w:r>
      <w:r w:rsidRPr="00602275">
        <w:t>such as persistent oscillations, divergence from reference trajectories, or repeated constraint violations</w:t>
      </w:r>
      <w:r w:rsidR="00D9715E">
        <w:t xml:space="preserve"> </w:t>
      </w:r>
      <w:r w:rsidRPr="00602275">
        <w:t>are treated as indicators of potential policy degradation, sensor failure, or unmodeled environmental effects. Rather than relying on internal interpretability of the DRL policy, monitoring is based on externally observable system behavior, making the approach compatible with black-box learning architectures.</w:t>
      </w:r>
    </w:p>
    <w:p w14:paraId="09EC5FF4" w14:textId="581BD88E" w:rsidR="00602275" w:rsidRPr="00602275" w:rsidRDefault="00602275" w:rsidP="00602275">
      <w:r w:rsidRPr="00602275">
        <w:t>Upon detection of abnormal behavior, the runtime monitoring layer initiates predefined mitigation actions. These actions may include restricting the authority of the DRL controller, reverting control execution to a conventional analytical controller, or transitioning the spacecraft into a predefined safe operational mode. This deterministic fail-safe capability ensures that degradation in learning performance does not propagate into loss of mission or spacecraft integrity and aligns with established spacecraft fault management practices.</w:t>
      </w:r>
    </w:p>
    <w:p w14:paraId="79D9DACB" w14:textId="3F4FA484" w:rsidR="00602275" w:rsidRPr="00602275" w:rsidRDefault="00602275" w:rsidP="00602275">
      <w:r w:rsidRPr="00602275">
        <w:t>From a certification perspective, the Onboard Runtime Monitoring layer provides a critical assurance mechanism. By embedding continuous verification and explicit fail-safe transitions, the architecture satisfies core aerospace safety principles related to fault containment, graceful degradation, and recoverability. This design enables learning-based controllers to coexist with conventional flight software architectures without violating assumptions regarding predictability or control authority hierarchy.</w:t>
      </w:r>
    </w:p>
    <w:p w14:paraId="1011707B" w14:textId="6D672920" w:rsidR="00602275" w:rsidRPr="00602275" w:rsidRDefault="00602275" w:rsidP="00602275">
      <w:r w:rsidRPr="00602275">
        <w:t>In addition to fault detection and mitigation, this module supports long-term operational transparency. System states, control actions, and intervention events are logged for post-mission analysis and ground-based assessment. Such traceability facilitates validation of autonomous behavior, supports accountability, and provides valuable data for future refinement and certification of learning-based control strategies.</w:t>
      </w:r>
    </w:p>
    <w:p w14:paraId="23534F1C" w14:textId="6B93B79B" w:rsidR="00602275" w:rsidRPr="00602275" w:rsidRDefault="00602275" w:rsidP="00602275">
      <w:r w:rsidRPr="00602275">
        <w:lastRenderedPageBreak/>
        <w:t>In summary, Module 7 ensures that the proposed Sim-to-Real framework remains operationally viable under unexpected and off-nominal conditions. By combining real-time monitoring, deterministic fail-safe responses, and transparent logging, this module completes the architecture required for deploying DRL-based spacecraft controllers in safety-critical environments while maintaining mission assurance and certification compatibility.</w:t>
      </w:r>
    </w:p>
    <w:p w14:paraId="2F8B7419" w14:textId="77777777" w:rsidR="00E745C5" w:rsidRDefault="00602275" w:rsidP="00E745C5">
      <w:r w:rsidRPr="00602275">
        <w:t>Overall Framework Integration</w:t>
      </w:r>
    </w:p>
    <w:p w14:paraId="786ADAC6" w14:textId="63E050DF" w:rsidR="00E745C5" w:rsidRPr="00E745C5" w:rsidRDefault="00E745C5" w:rsidP="00E745C5">
      <w:r w:rsidRPr="00E745C5">
        <w:t>Together, these design rationales clarify how each module contributes to the overarching Sim-to-Real transfer objective while maintaining clear separation of concerns between learning, robustness, safety, adaptation, and assurance. This structured layering enables systematic reasoning about autonomy authority, certification boundaries, and transfer reliability, distinguishing the proposed framework from prior Sim-to-Real approaches that address these challenges in isolation.</w:t>
      </w:r>
    </w:p>
    <w:p w14:paraId="3C21045F" w14:textId="73430B9B" w:rsidR="00E73DC0" w:rsidRPr="00E73DC0" w:rsidRDefault="5EEAB776" w:rsidP="00602275">
      <w:pPr>
        <w:pStyle w:val="Heading1"/>
        <w:rPr>
          <w:color w:val="4F81BD" w:themeColor="accent1"/>
        </w:rPr>
      </w:pPr>
      <w:r w:rsidRPr="1D872806">
        <w:rPr>
          <w:color w:val="4F81BD" w:themeColor="accent1"/>
        </w:rPr>
        <w:t>6</w:t>
      </w:r>
      <w:r w:rsidR="00377B45" w:rsidRPr="1D872806">
        <w:rPr>
          <w:color w:val="4F81BD" w:themeColor="accent1"/>
        </w:rPr>
        <w:t>. Theoretical Evaluation</w:t>
      </w:r>
    </w:p>
    <w:p w14:paraId="5DADAE92" w14:textId="77777777" w:rsidR="00E745C5" w:rsidRDefault="00E745C5" w:rsidP="00E73DC0">
      <w:r>
        <w:t>To avoid treating performance and robustness as aggregate outcomes, the proposed evaluation perspective explicitly maps commonly used spacecraft control metrics to individual architectural components of the Sim-to-Real framework. This modular interpretation enables clearer attribution of observed behavior to specific design elements, facilitating systematic comparison with existing control approaches and guiding future implementation-focused studies.</w:t>
      </w:r>
    </w:p>
    <w:p w14:paraId="0EE6F9E1" w14:textId="606DC4A3" w:rsidR="1AD423D0" w:rsidRDefault="7CD2A6B5" w:rsidP="47A1B0EB">
      <w:pPr>
        <w:rPr>
          <w:rFonts w:ascii="Cambria" w:eastAsia="Cambria" w:hAnsi="Cambria" w:cs="Cambria"/>
          <w:b/>
          <w:bCs/>
        </w:rPr>
      </w:pPr>
      <w:r w:rsidRPr="1D872806">
        <w:rPr>
          <w:b/>
          <w:bCs/>
        </w:rPr>
        <w:t>6</w:t>
      </w:r>
      <w:r w:rsidR="1AD423D0" w:rsidRPr="1D872806">
        <w:rPr>
          <w:b/>
          <w:bCs/>
        </w:rPr>
        <w:t>.1</w:t>
      </w:r>
      <w:r w:rsidR="1AD423D0" w:rsidRPr="1D872806">
        <w:rPr>
          <w:rFonts w:ascii="Cambria" w:eastAsia="Cambria" w:hAnsi="Cambria" w:cs="Cambria"/>
          <w:b/>
          <w:bCs/>
        </w:rPr>
        <w:t xml:space="preserve"> Closed-Loop System Interpretation</w:t>
      </w:r>
    </w:p>
    <w:p w14:paraId="672F5370" w14:textId="0B2BB71F" w:rsidR="14BB2B31" w:rsidRDefault="14BB2B31" w:rsidP="47A1B0EB">
      <w:r w:rsidRPr="47A1B0EB">
        <w:rPr>
          <w:rFonts w:ascii="Cambria" w:eastAsia="Cambria" w:hAnsi="Cambria" w:cs="Cambria"/>
        </w:rPr>
        <w:t>The overall Sim-to-Real architecture can be interpreted as a constrained closed-loop control system in which learning, safety filtering, and adaptation operate within a unified feedback structure.</w:t>
      </w:r>
    </w:p>
    <w:p w14:paraId="1CE66D3A" w14:textId="6FB58829" w:rsidR="47A1B0EB" w:rsidRDefault="00000000" w:rsidP="47A1B0EB">
      <w:pPr>
        <w:ind w:left="720"/>
        <w:jc w:val="center"/>
      </w:pPr>
      <m:oMathPara>
        <m:oMath>
          <m:sSub>
            <m:sSubPr>
              <m:ctrlPr>
                <w:rPr>
                  <w:rFonts w:ascii="Cambria Math" w:hAnsi="Cambria Math"/>
                </w:rPr>
              </m:ctrlPr>
            </m:sSubPr>
            <m:e>
              <m:r>
                <w:rPr>
                  <w:rFonts w:ascii="Cambria Math" w:hAnsi="Cambria Math"/>
                </w:rPr>
                <m:t>s</m:t>
              </m:r>
            </m:e>
            <m:sub>
              <m:r>
                <w:rPr>
                  <w:rFonts w:ascii="Cambria Math" w:hAnsi="Cambria Math"/>
                </w:rPr>
                <m:t>t+1</m:t>
              </m:r>
            </m:sub>
          </m:sSub>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t</m:t>
                  </m:r>
                </m:sub>
              </m:sSub>
              <m: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c</m:t>
                  </m:r>
                </m:sub>
                <m:sup>
                  <m:r>
                    <w:rPr>
                      <w:rFonts w:ascii="Cambria Math" w:hAnsi="Cambria Math"/>
                    </w:rPr>
                    <m:t>safe</m:t>
                  </m:r>
                </m:sup>
              </m:sSubSup>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d</m:t>
                  </m:r>
                </m:sub>
              </m:sSub>
            </m:e>
          </m:d>
        </m:oMath>
      </m:oMathPara>
    </w:p>
    <w:p w14:paraId="250954A8" w14:textId="26A2B9FF" w:rsidR="47A1B0EB" w:rsidRDefault="00000000" w:rsidP="47A1B0EB">
      <w:pPr>
        <w:ind w:left="720"/>
        <w:jc w:val="center"/>
      </w:pPr>
      <m:oMathPara>
        <m:oMath>
          <m:sSubSup>
            <m:sSubSupPr>
              <m:ctrlPr>
                <w:rPr>
                  <w:rFonts w:ascii="Cambria Math" w:hAnsi="Cambria Math"/>
                </w:rPr>
              </m:ctrlPr>
            </m:sSubSupPr>
            <m:e>
              <m:r>
                <w:rPr>
                  <w:rFonts w:ascii="Cambria Math" w:hAnsi="Cambria Math"/>
                </w:rPr>
                <m:t>τ</m:t>
              </m:r>
            </m:e>
            <m:sub>
              <m:r>
                <w:rPr>
                  <w:rFonts w:ascii="Cambria Math" w:hAnsi="Cambria Math"/>
                </w:rPr>
                <m:t>c</m:t>
              </m:r>
            </m:sub>
            <m:sup>
              <m:r>
                <w:rPr>
                  <w:rFonts w:ascii="Cambria Math" w:hAnsi="Cambria Math"/>
                </w:rPr>
                <m:t>safe</m:t>
              </m:r>
            </m:sup>
          </m:sSubSup>
          <m:r>
            <w:rPr>
              <w:rFonts w:ascii="Cambria Math" w:hAnsi="Cambria Math"/>
            </w:rPr>
            <m:t>=</m:t>
          </m:r>
          <m:func>
            <m:funcPr>
              <m:ctrlPr>
                <w:rPr>
                  <w:rFonts w:ascii="Cambria Math" w:hAnsi="Cambria Math"/>
                </w:rPr>
              </m:ctrlPr>
            </m:funcPr>
            <m:fName>
              <m:r>
                <m:rPr>
                  <m:sty m:val="p"/>
                </m:rPr>
                <w:rPr>
                  <w:rFonts w:ascii="Cambria Math" w:hAnsi="Cambria Math"/>
                </w:rPr>
                <m:t>Pr</m:t>
              </m:r>
            </m:fName>
            <m:e>
              <m:r>
                <w:rPr>
                  <w:rFonts w:ascii="Cambria Math" w:hAnsi="Cambria Math"/>
                </w:rPr>
                <m:t>o</m:t>
              </m:r>
            </m:e>
          </m:func>
          <m:sSub>
            <m:sSubPr>
              <m:ctrlPr>
                <w:rPr>
                  <w:rFonts w:ascii="Cambria Math" w:hAnsi="Cambria Math"/>
                </w:rPr>
              </m:ctrlPr>
            </m:sSubPr>
            <m:e>
              <m:r>
                <w:rPr>
                  <w:rFonts w:ascii="Cambria Math" w:hAnsi="Cambria Math"/>
                </w:rPr>
                <m:t>j</m:t>
              </m:r>
            </m:e>
            <m:sub>
              <m:r>
                <m:rPr>
                  <m:scr m:val="script"/>
                </m:rPr>
                <w:rPr>
                  <w:rFonts w:ascii="Cambria Math" w:hAnsi="Cambria Math"/>
                </w:rPr>
                <m:t>C</m:t>
              </m:r>
            </m:sub>
          </m:sSub>
          <m:d>
            <m:dPr>
              <m:ctrlPr>
                <w:rPr>
                  <w:rFonts w:ascii="Cambria Math" w:hAnsi="Cambria Math"/>
                </w:rPr>
              </m:ctrlPr>
            </m:dPr>
            <m:e>
              <m:sSub>
                <m:sSubPr>
                  <m:ctrlPr>
                    <w:rPr>
                      <w:rFonts w:ascii="Cambria Math" w:hAnsi="Cambria Math"/>
                    </w:rPr>
                  </m:ctrlPr>
                </m:sSubPr>
                <m:e>
                  <m:r>
                    <w:rPr>
                      <w:rFonts w:ascii="Cambria Math" w:hAnsi="Cambria Math"/>
                    </w:rPr>
                    <m:t>π</m:t>
                  </m:r>
                </m:e>
                <m:sub>
                  <m:r>
                    <w:rPr>
                      <w:rFonts w:ascii="Cambria Math" w:hAnsi="Cambria Math"/>
                    </w:rPr>
                    <m:t>θ</m:t>
                  </m:r>
                </m:sub>
              </m:sSub>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t</m:t>
                      </m:r>
                    </m:sub>
                  </m:sSub>
                </m:e>
              </m:d>
            </m:e>
          </m:d>
        </m:oMath>
      </m:oMathPara>
    </w:p>
    <w:p w14:paraId="6FA979A7" w14:textId="79B57E0F" w:rsidR="47A1B0EB" w:rsidRDefault="00000000" w:rsidP="47A1B0EB">
      <w:pPr>
        <w:ind w:left="720"/>
        <w:jc w:val="center"/>
      </w:pPr>
      <m:oMathPara>
        <m:oMath>
          <m:sSub>
            <m:sSubPr>
              <m:ctrlPr>
                <w:rPr>
                  <w:rFonts w:ascii="Cambria Math" w:hAnsi="Cambria Math"/>
                </w:rPr>
              </m:ctrlPr>
            </m:sSubPr>
            <m:e>
              <m:r>
                <w:rPr>
                  <w:rFonts w:ascii="Cambria Math" w:hAnsi="Cambria Math"/>
                </w:rPr>
                <m:t>θ</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t</m:t>
              </m:r>
            </m:sub>
          </m:sSub>
          <m:r>
            <w:rPr>
              <w:rFonts w:ascii="Cambria Math" w:hAnsi="Cambria Math"/>
            </w:rPr>
            <m:t>+η·</m:t>
          </m:r>
          <m:r>
            <m:rPr>
              <m:sty m:val="p"/>
            </m:rP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t</m:t>
              </m:r>
            </m:sub>
          </m:sSub>
          <m:r>
            <w:rPr>
              <w:rFonts w:ascii="Cambria Math" w:hAnsi="Cambria Math"/>
            </w:rPr>
            <m:t>,with</m:t>
          </m:r>
          <m:d>
            <m:dPr>
              <m:begChr m:val="‖"/>
              <m:endChr m:val="‖"/>
              <m:ctrlPr>
                <w:rPr>
                  <w:rFonts w:ascii="Cambria Math" w:hAnsi="Cambria Math"/>
                </w:rPr>
              </m:ctrlPr>
            </m:dPr>
            <m:e>
              <m:r>
                <m:rPr>
                  <m:sty m:val="p"/>
                </m:rPr>
                <w:rPr>
                  <w:rFonts w:ascii="Cambria Math" w:hAnsi="Cambria Math"/>
                </w:rPr>
                <m:t>Δ</m:t>
              </m:r>
              <m:sSub>
                <m:sSubPr>
                  <m:ctrlPr>
                    <w:rPr>
                      <w:rFonts w:ascii="Cambria Math" w:hAnsi="Cambria Math"/>
                    </w:rPr>
                  </m:ctrlPr>
                </m:sSubPr>
                <m:e>
                  <m:r>
                    <w:rPr>
                      <w:rFonts w:ascii="Cambria Math" w:hAnsi="Cambria Math"/>
                    </w:rPr>
                    <m:t>θ</m:t>
                  </m:r>
                </m:e>
                <m:sub>
                  <m:r>
                    <w:rPr>
                      <w:rFonts w:ascii="Cambria Math" w:hAnsi="Cambria Math"/>
                    </w:rPr>
                    <m:t>t</m:t>
                  </m:r>
                </m:sub>
              </m:sSub>
            </m:e>
          </m:d>
          <m:r>
            <w:rPr>
              <w:rFonts w:ascii="Cambria Math" w:hAnsi="Cambria Math"/>
            </w:rPr>
            <m:t>≤δ</m:t>
          </m:r>
        </m:oMath>
      </m:oMathPara>
    </w:p>
    <w:p w14:paraId="1D80FBED" w14:textId="66C53915" w:rsidR="47A1B0EB" w:rsidRDefault="00000000" w:rsidP="00F753A3">
      <w:pPr>
        <w:jc w:val="left"/>
      </w:pPr>
      <m:oMath>
        <m:sSub>
          <m:sSubPr>
            <m:ctrlPr>
              <w:rPr>
                <w:rFonts w:ascii="Cambria Math" w:hAnsi="Cambria Math"/>
              </w:rPr>
            </m:ctrlPr>
          </m:sSubPr>
          <m:e>
            <m:r>
              <w:rPr>
                <w:rFonts w:ascii="Cambria Math" w:hAnsi="Cambria Math"/>
              </w:rPr>
              <m:t>s</m:t>
            </m:r>
          </m:e>
          <m:sub>
            <m:r>
              <w:rPr>
                <w:rFonts w:ascii="Cambria Math" w:hAnsi="Cambria Math"/>
              </w:rPr>
              <m:t>t</m:t>
            </m:r>
          </m:sub>
        </m:sSub>
      </m:oMath>
      <w:r w:rsidR="7C4E26D1" w:rsidRPr="47A1B0EB">
        <w:rPr>
          <w:rFonts w:ascii="Cambria" w:eastAsia="Cambria" w:hAnsi="Cambria" w:cs="Cambria"/>
        </w:rPr>
        <w:t xml:space="preserve"> denotes the spacecraft state,</w:t>
      </w:r>
      <w:r w:rsidR="47A1B0EB">
        <w:br/>
      </w:r>
      <m:oMath>
        <m:r>
          <w:rPr>
            <w:rFonts w:ascii="Cambria Math" w:hAnsi="Cambria Math"/>
          </w:rPr>
          <m:t>f</m:t>
        </m:r>
        <m:d>
          <m:dPr>
            <m:ctrlPr>
              <w:rPr>
                <w:rFonts w:ascii="Cambria Math" w:hAnsi="Cambria Math"/>
              </w:rPr>
            </m:ctrlPr>
          </m:dPr>
          <m:e>
            <m:r>
              <w:rPr>
                <w:rFonts w:ascii="Cambria Math" w:hAnsi="Cambria Math"/>
              </w:rPr>
              <m:t>·</m:t>
            </m:r>
          </m:e>
        </m:d>
      </m:oMath>
      <w:r w:rsidR="7C4E26D1" w:rsidRPr="47A1B0EB">
        <w:rPr>
          <w:rFonts w:ascii="Cambria" w:eastAsia="Cambria" w:hAnsi="Cambria" w:cs="Cambria"/>
        </w:rPr>
        <w:t xml:space="preserve"> represents the nonlinear rotational dynamics,</w:t>
      </w:r>
      <w:r w:rsidR="47A1B0EB">
        <w:br/>
      </w:r>
      <m:oMath>
        <m:sSub>
          <m:sSubPr>
            <m:ctrlPr>
              <w:rPr>
                <w:rFonts w:ascii="Cambria Math" w:hAnsi="Cambria Math"/>
              </w:rPr>
            </m:ctrlPr>
          </m:sSubPr>
          <m:e>
            <m:r>
              <w:rPr>
                <w:rFonts w:ascii="Cambria Math" w:hAnsi="Cambria Math"/>
              </w:rPr>
              <m:t>π</m:t>
            </m:r>
          </m:e>
          <m:sub>
            <m:r>
              <w:rPr>
                <w:rFonts w:ascii="Cambria Math" w:hAnsi="Cambria Math"/>
              </w:rPr>
              <m:t>θ</m:t>
            </m:r>
          </m:sub>
        </m:sSub>
      </m:oMath>
      <w:r w:rsidR="7C4E26D1" w:rsidRPr="47A1B0EB">
        <w:rPr>
          <w:rFonts w:ascii="Cambria" w:eastAsia="Cambria" w:hAnsi="Cambria" w:cs="Cambria"/>
        </w:rPr>
        <w:t xml:space="preserve"> is the learned control policy,</w:t>
      </w:r>
      <w:r w:rsidR="47A1B0EB">
        <w:br/>
      </w:r>
      <m:oMath>
        <m:func>
          <m:funcPr>
            <m:ctrlPr>
              <w:rPr>
                <w:rFonts w:ascii="Cambria Math" w:hAnsi="Cambria Math"/>
              </w:rPr>
            </m:ctrlPr>
          </m:funcPr>
          <m:fName>
            <m:r>
              <m:rPr>
                <m:sty m:val="p"/>
              </m:rPr>
              <w:rPr>
                <w:rFonts w:ascii="Cambria Math" w:hAnsi="Cambria Math"/>
              </w:rPr>
              <m:t>Pr</m:t>
            </m:r>
          </m:fName>
          <m:e>
            <m:r>
              <w:rPr>
                <w:rFonts w:ascii="Cambria Math" w:hAnsi="Cambria Math"/>
              </w:rPr>
              <m:t>o</m:t>
            </m:r>
          </m:e>
        </m:func>
        <m:sSub>
          <m:sSubPr>
            <m:ctrlPr>
              <w:rPr>
                <w:rFonts w:ascii="Cambria Math" w:hAnsi="Cambria Math"/>
              </w:rPr>
            </m:ctrlPr>
          </m:sSubPr>
          <m:e>
            <m:r>
              <w:rPr>
                <w:rFonts w:ascii="Cambria Math" w:hAnsi="Cambria Math"/>
              </w:rPr>
              <m:t>j</m:t>
            </m:r>
          </m:e>
          <m:sub>
            <m:r>
              <m:rPr>
                <m:scr m:val="script"/>
              </m:rPr>
              <w:rPr>
                <w:rFonts w:ascii="Cambria Math" w:hAnsi="Cambria Math"/>
              </w:rPr>
              <m:t>C</m:t>
            </m:r>
          </m:sub>
        </m:sSub>
      </m:oMath>
      <w:r w:rsidR="7C4E26D1" w:rsidRPr="47A1B0EB">
        <w:rPr>
          <w:rFonts w:ascii="Cambria" w:eastAsia="Cambria" w:hAnsi="Cambria" w:cs="Cambria"/>
        </w:rPr>
        <w:t xml:space="preserve"> enforces safety constraints, and</w:t>
      </w:r>
      <w:r w:rsidR="47A1B0EB">
        <w:br/>
      </w:r>
      <m:oMath>
        <m:sSub>
          <m:sSubPr>
            <m:ctrlPr>
              <w:rPr>
                <w:rFonts w:ascii="Cambria Math" w:hAnsi="Cambria Math"/>
              </w:rPr>
            </m:ctrlPr>
          </m:sSubPr>
          <m:e>
            <m:r>
              <w:rPr>
                <w:rFonts w:ascii="Cambria Math" w:hAnsi="Cambria Math"/>
              </w:rPr>
              <m:t>θ</m:t>
            </m:r>
          </m:e>
          <m:sub>
            <m:r>
              <w:rPr>
                <w:rFonts w:ascii="Cambria Math" w:hAnsi="Cambria Math"/>
              </w:rPr>
              <m:t>t</m:t>
            </m:r>
          </m:sub>
        </m:sSub>
      </m:oMath>
      <w:r w:rsidR="7C4E26D1" w:rsidRPr="47A1B0EB">
        <w:rPr>
          <w:rFonts w:ascii="Cambria" w:eastAsia="Cambria" w:hAnsi="Cambria" w:cs="Cambria"/>
        </w:rPr>
        <w:t xml:space="preserve"> evolves within bounded adaptation limits.</w:t>
      </w:r>
    </w:p>
    <w:p w14:paraId="326A5CA3" w14:textId="0B46933D" w:rsidR="47A1B0EB" w:rsidRDefault="47A1B0EB" w:rsidP="47A1B0EB">
      <w:pPr>
        <w:ind w:left="720"/>
        <w:jc w:val="center"/>
        <w:rPr>
          <w:rFonts w:ascii="Cambria" w:eastAsia="Cambria" w:hAnsi="Cambria" w:cs="Cambria"/>
        </w:rPr>
      </w:pPr>
    </w:p>
    <w:p w14:paraId="3F93EE5C" w14:textId="06F36AC7" w:rsidR="00E73DC0" w:rsidRPr="00E73DC0" w:rsidRDefault="47524975" w:rsidP="00E73DC0">
      <w:pPr>
        <w:rPr>
          <w:b/>
          <w:bCs/>
        </w:rPr>
      </w:pPr>
      <w:r w:rsidRPr="1D872806">
        <w:rPr>
          <w:b/>
          <w:bCs/>
        </w:rPr>
        <w:t>6</w:t>
      </w:r>
      <w:r w:rsidR="00E73DC0" w:rsidRPr="1D872806">
        <w:rPr>
          <w:b/>
          <w:bCs/>
        </w:rPr>
        <w:t>.</w:t>
      </w:r>
      <w:r w:rsidR="0174A0E7" w:rsidRPr="1D872806">
        <w:rPr>
          <w:b/>
          <w:bCs/>
        </w:rPr>
        <w:t>2</w:t>
      </w:r>
      <w:r w:rsidR="00E73DC0" w:rsidRPr="1D872806">
        <w:rPr>
          <w:b/>
          <w:bCs/>
        </w:rPr>
        <w:t xml:space="preserve"> Existing Approaches and Baseline Methods</w:t>
      </w:r>
    </w:p>
    <w:p w14:paraId="1B02FA53" w14:textId="3DB18439" w:rsidR="00E73DC0" w:rsidRDefault="00E73DC0" w:rsidP="00E73DC0">
      <w:r>
        <w:t>Several research directions have attempted to achieve robust and autonomous spacecraft attitude control under uncertainty, forming the conceptual and practical baselines against which the proposed framework is evaluated. These approaches can be broadly classified into classical model-based control, adaptive and fault-tolerant control, and learning-based methods.</w:t>
      </w:r>
    </w:p>
    <w:p w14:paraId="20888350" w14:textId="3C1BF560" w:rsidR="00E73DC0" w:rsidRDefault="00E73DC0" w:rsidP="00E73DC0">
      <w:r>
        <w:lastRenderedPageBreak/>
        <w:t>Classical spacecraft attitude control has predominantly relied on model-based techniques such as proportional–derivative (PD) control, linear quadratic regulators (LQR), and nonlinear methods including backstepping and sliding-mode control. These controllers offer well-understood stability properties and strong compatibility with aerospace certification processes. However, their performance depends critically on accurate system models and manually tuned parameters, resulting in degraded robustness under modeling errors, actuator degradation, and unanticipated environmental disturbances.</w:t>
      </w:r>
    </w:p>
    <w:p w14:paraId="2F83BAC5" w14:textId="1A73FA72" w:rsidR="00E73DC0" w:rsidRDefault="00E73DC0" w:rsidP="00E73DC0">
      <w:r>
        <w:t>Adaptive and fault-tolerant control strategies extend classical approaches by modifying controller parameters in response to detected changes in system dynamics or actuator availability. While these methods improve resilience relative to fixed-gain controllers, they typically rely on predefined adaptation laws or observer-based system identification. As a result, their ability to generalize across diverse mission conditions and previously unseen failure modes remains limited.</w:t>
      </w:r>
    </w:p>
    <w:p w14:paraId="16714A71" w14:textId="5E2A5E64" w:rsidR="00E73DC0" w:rsidRDefault="00E73DC0" w:rsidP="00E73DC0">
      <w:r>
        <w:t>More recently, Deep Reinforcement Learning–based controllers have emerged as model-free alternatives capable of learning control policies directly from interaction data. Prior studies demonstrate that DRL agents can achieve effective attitude stabilization and maneuvering in simulation, including scenarios involving nonlinear dynamics and partial actuator failures. However, most learning-based approaches are trained under nominal or lightly perturbed simulation assumptions and do not systematically address the simulation-to-reality gap.</w:t>
      </w:r>
    </w:p>
    <w:p w14:paraId="54F5F029" w14:textId="6E5BB244" w:rsidR="00E73DC0" w:rsidRDefault="00E73DC0" w:rsidP="00E73DC0">
      <w:r>
        <w:t>Partial solutions have been proposed to improve real-world applicability, including limited domain randomization, hybrid architectures combining DRL with classical controllers, and post-training fine-tuning. While these techniques enhance robustness in specific scenarios, they are typically applied in an ad hoc manner and lack a unified architectural structure that integrates robustness enhancement, safety assurance, adaptation, and runtime supervision.</w:t>
      </w:r>
    </w:p>
    <w:p w14:paraId="1B6B6432" w14:textId="4ED2C626" w:rsidR="00E73DC0" w:rsidRDefault="00E73DC0" w:rsidP="00E73DC0">
      <w:r>
        <w:t>In this work, these approaches are treated as practical baselines, representing the current spectrum of deployable spacecraft attitude control solutions. The proposed framework builds upon their strengths by consolidating robustness-oriented learning, certification-aware safety enforcement, and controlled adaptation within a single theoretical architecture, thereby defining a consistent basis for future comparison.</w:t>
      </w:r>
    </w:p>
    <w:p w14:paraId="5C3A3E02" w14:textId="20AE0BD9" w:rsidR="00E73DC0" w:rsidRPr="00E73DC0" w:rsidRDefault="2A63B41C" w:rsidP="00E73DC0">
      <w:pPr>
        <w:rPr>
          <w:b/>
          <w:bCs/>
        </w:rPr>
      </w:pPr>
      <w:r w:rsidRPr="1D872806">
        <w:rPr>
          <w:b/>
          <w:bCs/>
        </w:rPr>
        <w:t>6</w:t>
      </w:r>
      <w:r w:rsidR="00E73DC0" w:rsidRPr="1D872806">
        <w:rPr>
          <w:b/>
          <w:bCs/>
        </w:rPr>
        <w:t>.</w:t>
      </w:r>
      <w:r w:rsidR="668FA10E" w:rsidRPr="1D872806">
        <w:rPr>
          <w:b/>
          <w:bCs/>
        </w:rPr>
        <w:t>3</w:t>
      </w:r>
      <w:r w:rsidR="00E73DC0" w:rsidRPr="1D872806">
        <w:rPr>
          <w:b/>
          <w:bCs/>
        </w:rPr>
        <w:t xml:space="preserve"> Theoretical Performance Metrics and Comparative Evaluation</w:t>
      </w:r>
    </w:p>
    <w:p w14:paraId="108C42A5" w14:textId="6DECE10E" w:rsidR="00E73DC0" w:rsidRDefault="00E73DC0" w:rsidP="00E73DC0">
      <w:r>
        <w:t>Although no numerical simulations or experimental results are presented, the proposed Sim-to-Real transfer framework can be evaluated theoretically using standard performance metrics widely adopted in spacecraft attitude control literature. These metrics provide a consistent basis for comparative analysis and establish clear evaluation criteria for future implementation-focused studies.</w:t>
      </w:r>
    </w:p>
    <w:p w14:paraId="4E306BE1" w14:textId="3382CDBF" w:rsidR="00E73DC0" w:rsidRDefault="00E73DC0" w:rsidP="00E73DC0">
      <w:r>
        <w:t xml:space="preserve">Control performance metrics include steady-state attitude error, transient response characteristics, and settling time. These metrics are commonly used to assess stabilization accuracy and maneuvering effectiveness under nominal and perturbed conditions. Relative to classical controllers and nominal DRL policies trained without Sim-to-Real augmentation, the proposed framework is </w:t>
      </w:r>
      <w:r>
        <w:lastRenderedPageBreak/>
        <w:t>theoretically expected to exhibit reduced sensitivity to parameter uncertainty, sensor noise, and external disturbances due to its robustness-oriented training and realism modeling layers.</w:t>
      </w:r>
    </w:p>
    <w:p w14:paraId="32A77A52" w14:textId="00E65667" w:rsidR="00E73DC0" w:rsidRDefault="00E73DC0" w:rsidP="00E73DC0">
      <w:r>
        <w:t>Control efficiency and actuator utilization form a second evaluation category. Metrics such as control effort magnitude, torque saturation frequency, and command smoothness are critical for preserving actuator’s health and extending mission lifetime. By incorporating uncertainty-aware reward design and safety-constrained action filtering, the framework is expected to limit excessive control effort and reduce actuator stress compared to unconstrained DRL policies and aggressively tuned classical controllers.</w:t>
      </w:r>
    </w:p>
    <w:p w14:paraId="5E0C5EA0" w14:textId="77777777" w:rsidR="00E73DC0" w:rsidRDefault="00E73DC0" w:rsidP="00E73DC0"/>
    <w:p w14:paraId="0A22C8DB" w14:textId="17A12750" w:rsidR="00E73DC0" w:rsidRDefault="00E73DC0" w:rsidP="00E73DC0">
      <w:r>
        <w:t>Robustness and fault tolerance represent a third evaluation dimension. Performance degradation under partial actuator failure, sensor degradation, or dynamic parameter variation is commonly used to assess resilience in spacecraft control systems. The proposed framework explicitly targets robustness through domain randomization, sensor and actuator realism modeling, and constrained adaptation, providing a theoretical advantage over baseline approaches trained or designed for nominal conditions.</w:t>
      </w:r>
    </w:p>
    <w:p w14:paraId="1591D7DC" w14:textId="1C6DEDD3" w:rsidR="00E73DC0" w:rsidRDefault="00E73DC0" w:rsidP="00E73DC0">
      <w:r>
        <w:t>Safety and certification-related metrics constitute an additional evaluation category that is rarely addressed in existing DRL-based studies. These include constraint violation frequency, fallback controller activation rate, and compliance with predefined operational envelopes. The inclusion of a Safety and Certification Envelope enables systematic comparison with approaches that lack explicit safety supervision and provides a theoretical pathway toward certification-compatible learning-enabled control.</w:t>
      </w:r>
    </w:p>
    <w:p w14:paraId="495FE58D" w14:textId="40496F40" w:rsidR="00E73DC0" w:rsidRDefault="00E73DC0" w:rsidP="00E73DC0">
      <w:r>
        <w:t>Finally, autonomy-related metrics such as frequency of human intervention, recovery time following anomalies, and adaptability across mission phases provide a basis for assessing autonomy readiness. While traditional controllers and nominal DRL implementations often require extensive ground intervention or manual retuning, the proposed framework is designed to support higher levels of autonomous operation through structured supervision and controlled adaptation.</w:t>
      </w:r>
    </w:p>
    <w:p w14:paraId="79F04410" w14:textId="75BDF730" w:rsidR="00E73DC0" w:rsidRDefault="00E73DC0" w:rsidP="00E73DC0">
      <w:r>
        <w:t>In summary, this section defines a rigorous theoretical evaluation methodology based on established control, robustness, safety, and autonomy metrics. These criteria provide a clear foundation for future simulation-based and experimental studies and enable objective comparison between the proposed Sim-to-Real framework and existing spacecraft attitude control approaches.</w:t>
      </w:r>
    </w:p>
    <w:p w14:paraId="6BEDE054" w14:textId="6D401F0A" w:rsidR="00E73DC0" w:rsidRDefault="3E0C3731" w:rsidP="1D872806">
      <w:r w:rsidRPr="1D872806">
        <w:rPr>
          <w:rFonts w:ascii="Cambria" w:eastAsia="Cambria" w:hAnsi="Cambria" w:cs="Cambria"/>
          <w:b/>
          <w:bCs/>
          <w:sz w:val="24"/>
          <w:szCs w:val="24"/>
        </w:rPr>
        <w:t>6</w:t>
      </w:r>
      <w:r w:rsidR="0414592B" w:rsidRPr="1D872806">
        <w:rPr>
          <w:rFonts w:ascii="Cambria" w:eastAsia="Cambria" w:hAnsi="Cambria" w:cs="Cambria"/>
          <w:b/>
          <w:bCs/>
          <w:sz w:val="24"/>
          <w:szCs w:val="24"/>
        </w:rPr>
        <w:t>.</w:t>
      </w:r>
      <w:r w:rsidR="7FB006DC" w:rsidRPr="1D872806">
        <w:rPr>
          <w:rFonts w:ascii="Cambria" w:eastAsia="Cambria" w:hAnsi="Cambria" w:cs="Cambria"/>
          <w:b/>
          <w:bCs/>
          <w:sz w:val="24"/>
          <w:szCs w:val="24"/>
        </w:rPr>
        <w:t>4</w:t>
      </w:r>
      <w:r w:rsidR="0414592B" w:rsidRPr="1D872806">
        <w:rPr>
          <w:rFonts w:ascii="Cambria" w:eastAsia="Cambria" w:hAnsi="Cambria" w:cs="Cambria"/>
          <w:b/>
          <w:bCs/>
          <w:sz w:val="24"/>
          <w:szCs w:val="24"/>
        </w:rPr>
        <w:t xml:space="preserve"> Stability and Boundedness Considerations</w:t>
      </w:r>
    </w:p>
    <w:p w14:paraId="2F6B9FFD" w14:textId="1FF42436" w:rsidR="00E73DC0" w:rsidRDefault="00E73DC0" w:rsidP="1D872806">
      <w:r>
        <w:br/>
      </w:r>
      <w:r w:rsidR="0F6A8372" w:rsidRPr="1D872806">
        <w:rPr>
          <w:rFonts w:ascii="Cambria" w:eastAsia="Cambria" w:hAnsi="Cambria" w:cs="Cambria"/>
        </w:rPr>
        <w:t>The proposed Sim-to-Real framework can be interpreted as a constrained adaptive nonlinear control system. Stability is not derived from the neural network itself, but from the architectural constraints imposed by safety filtering and bounded adaptation.</w:t>
      </w:r>
    </w:p>
    <w:p w14:paraId="797F0DB4" w14:textId="2E6E7AD9" w:rsidR="008E3172" w:rsidRPr="008E3172" w:rsidRDefault="008E3172" w:rsidP="1D872806">
      <m:oMathPara>
        <m:oMath>
          <m:r>
            <w:rPr>
              <w:rFonts w:ascii="Cambria Math" w:hAnsi="Cambria Math"/>
            </w:rPr>
            <m:t>V</m:t>
          </m:r>
          <m:d>
            <m:dPr>
              <m:ctrlPr>
                <w:rPr>
                  <w:rFonts w:ascii="Cambria Math" w:hAnsi="Cambria Math"/>
                </w:rPr>
              </m:ctrlPr>
            </m:dPr>
            <m:e>
              <m:r>
                <w:rPr>
                  <w:rFonts w:ascii="Cambria Math" w:hAnsi="Cambria Math"/>
                </w:rPr>
                <m:t>s</m:t>
              </m:r>
            </m:e>
          </m:d>
          <m:r>
            <w:rPr>
              <w:rFonts w:ascii="Cambria Math" w:hAnsi="Cambria Math"/>
            </w:rPr>
            <m:t>=</m:t>
          </m:r>
          <m:sSubSup>
            <m:sSubSupPr>
              <m:ctrlPr>
                <w:rPr>
                  <w:rFonts w:ascii="Cambria Math" w:hAnsi="Cambria Math"/>
                </w:rPr>
              </m:ctrlPr>
            </m:sSubSupPr>
            <m:e>
              <m:r>
                <w:rPr>
                  <w:rFonts w:ascii="Cambria Math" w:hAnsi="Cambria Math"/>
                </w:rPr>
                <m:t>e</m:t>
              </m:r>
            </m:e>
            <m:sub>
              <m:r>
                <w:rPr>
                  <w:rFonts w:ascii="Cambria Math" w:hAnsi="Cambria Math"/>
                </w:rPr>
                <m:t>q</m:t>
              </m:r>
            </m:sub>
            <m:sup>
              <m:r>
                <w:rPr>
                  <w:rFonts w:ascii="Cambria Math" w:hAnsi="Cambria Math"/>
                </w:rPr>
                <m:t>T</m:t>
              </m:r>
            </m:sup>
          </m:sSubSup>
          <m:r>
            <w:rPr>
              <w:rFonts w:ascii="Cambria Math" w:hAnsi="Cambria Math"/>
            </w:rPr>
            <m:t>Q</m:t>
          </m:r>
          <m:sSub>
            <m:sSubPr>
              <m:ctrlPr>
                <w:rPr>
                  <w:rFonts w:ascii="Cambria Math" w:hAnsi="Cambria Math"/>
                </w:rPr>
              </m:ctrlPr>
            </m:sSubPr>
            <m:e>
              <m:r>
                <w:rPr>
                  <w:rFonts w:ascii="Cambria Math" w:hAnsi="Cambria Math"/>
                </w:rPr>
                <m:t>e</m:t>
              </m:r>
            </m:e>
            <m:sub>
              <m:r>
                <w:rPr>
                  <w:rFonts w:ascii="Cambria Math" w:hAnsi="Cambria Math"/>
                </w:rPr>
                <m:t>q</m:t>
              </m:r>
            </m:sub>
          </m:sSub>
          <m: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T</m:t>
              </m:r>
            </m:sup>
          </m:sSup>
          <m:r>
            <w:rPr>
              <w:rFonts w:ascii="Cambria Math" w:hAnsi="Cambria Math"/>
            </w:rPr>
            <m:t>Pω</m:t>
          </m:r>
        </m:oMath>
      </m:oMathPara>
    </w:p>
    <w:p w14:paraId="41E8025F" w14:textId="402A906F" w:rsidR="008E3172" w:rsidRPr="008E3172" w:rsidRDefault="7E566057" w:rsidP="1D872806">
      <w:r w:rsidRPr="1D872806">
        <w:rPr>
          <w:rFonts w:ascii="Cambria" w:eastAsia="Cambria" w:hAnsi="Cambria" w:cs="Cambria"/>
        </w:rPr>
        <w:lastRenderedPageBreak/>
        <w:t>Where</w:t>
      </w:r>
      <w:r w:rsidR="45363082" w:rsidRPr="1D872806">
        <w:rPr>
          <w:rFonts w:ascii="Cambria" w:eastAsia="Cambria" w:hAnsi="Cambria" w:cs="Cambria"/>
        </w:rPr>
        <w:t xml:space="preserve"> Q and P are </w:t>
      </w:r>
      <w:r w:rsidR="519BC7FE" w:rsidRPr="1D872806">
        <w:rPr>
          <w:rFonts w:ascii="Cambria" w:eastAsia="Cambria" w:hAnsi="Cambria" w:cs="Cambria"/>
        </w:rPr>
        <w:t>positive,</w:t>
      </w:r>
      <w:r w:rsidR="45363082" w:rsidRPr="1D872806">
        <w:rPr>
          <w:rFonts w:ascii="Cambria" w:eastAsia="Cambria" w:hAnsi="Cambria" w:cs="Cambria"/>
        </w:rPr>
        <w:t xml:space="preserve"> definite weighting matrices and V(s) </w:t>
      </w:r>
      <w:r w:rsidR="5A267B4F" w:rsidRPr="1D872806">
        <w:rPr>
          <w:rFonts w:ascii="Cambria" w:eastAsia="Cambria" w:hAnsi="Cambria" w:cs="Cambria"/>
        </w:rPr>
        <w:t>represent</w:t>
      </w:r>
      <w:r w:rsidR="45363082" w:rsidRPr="1D872806">
        <w:rPr>
          <w:rFonts w:ascii="Cambria" w:eastAsia="Cambria" w:hAnsi="Cambria" w:cs="Cambria"/>
        </w:rPr>
        <w:t xml:space="preserve"> a </w:t>
      </w:r>
      <w:r w:rsidR="17F81A1C" w:rsidRPr="1D872806">
        <w:rPr>
          <w:rFonts w:ascii="Cambria" w:eastAsia="Cambria" w:hAnsi="Cambria" w:cs="Cambria"/>
        </w:rPr>
        <w:t>candidate for</w:t>
      </w:r>
      <w:r w:rsidR="45363082" w:rsidRPr="1D872806">
        <w:rPr>
          <w:rFonts w:ascii="Cambria" w:eastAsia="Cambria" w:hAnsi="Cambria" w:cs="Cambria"/>
        </w:rPr>
        <w:t xml:space="preserve"> Lyapunov function for the closed-loop spacecraft dynamics. Under the action constraint set 𝓒 and bounded parameter updates ‖Δθ‖ ≤ δ, the closed-loop control input remains bounded. Therefore, provided that the safety envelope enforces actuator and rate limits, the state trajectories remain confined within a compact operational set.</w:t>
      </w:r>
      <w:r w:rsidR="48C932E9" w:rsidRPr="1D872806">
        <w:rPr>
          <w:rFonts w:ascii="Cambria" w:eastAsia="Cambria" w:hAnsi="Cambria" w:cs="Cambria"/>
        </w:rPr>
        <w:t xml:space="preserve"> Although a formal Lyapunov proof is beyond the scope of this theoretical study, the architectural structure ensures bounded-input bounded-state behavior under certified operational limits.</w:t>
      </w:r>
    </w:p>
    <w:p w14:paraId="387BF8E4" w14:textId="435FED96" w:rsidR="008E3172" w:rsidRPr="008E3172" w:rsidRDefault="24401D2E" w:rsidP="1D872806">
      <w:pPr>
        <w:rPr>
          <w:rFonts w:cstheme="majorBidi"/>
          <w:b/>
          <w:bCs/>
          <w:color w:val="4F81BD" w:themeColor="accent1"/>
          <w:sz w:val="28"/>
          <w:szCs w:val="28"/>
          <w:lang w:bidi="ar-EG"/>
        </w:rPr>
      </w:pPr>
      <w:r w:rsidRPr="1D872806">
        <w:rPr>
          <w:rFonts w:cstheme="majorBidi"/>
          <w:b/>
          <w:bCs/>
          <w:color w:val="4F81BD" w:themeColor="accent1"/>
          <w:sz w:val="28"/>
          <w:szCs w:val="28"/>
        </w:rPr>
        <w:t>7</w:t>
      </w:r>
      <w:r w:rsidR="008E3172" w:rsidRPr="1D872806">
        <w:rPr>
          <w:rFonts w:cstheme="majorBidi"/>
          <w:b/>
          <w:bCs/>
          <w:color w:val="4F81BD" w:themeColor="accent1"/>
          <w:sz w:val="28"/>
          <w:szCs w:val="28"/>
        </w:rPr>
        <w:t>. Literature-Based Numerical Performance Comparison</w:t>
      </w:r>
    </w:p>
    <w:p w14:paraId="515C5C8D" w14:textId="77777777" w:rsidR="00E73DC0" w:rsidRPr="00E73DC0" w:rsidRDefault="00E73DC0" w:rsidP="00E73DC0">
      <w:pPr>
        <w:rPr>
          <w:rFonts w:asciiTheme="majorHAnsi" w:hAnsiTheme="majorHAnsi" w:cstheme="majorHAnsi"/>
        </w:rPr>
      </w:pPr>
      <w:r w:rsidRPr="00E73DC0">
        <w:rPr>
          <w:rFonts w:asciiTheme="majorHAnsi" w:hAnsiTheme="majorHAnsi" w:cstheme="majorHAnsi"/>
        </w:rPr>
        <w:t>While the proposed Sim-to-Real transfer framework does not introduce original numerical simulations or experimental results, a quantitative perspective can be established by examining performance metrics reported in existing spacecraft attitude control studies. This literature-based comparison provides an objective reference for contextualizing the performance levels achieved by current approaches and clarifies the baseline against which future implementations of the proposed framework may be evaluated.</w:t>
      </w:r>
    </w:p>
    <w:p w14:paraId="5F57767F" w14:textId="77777777" w:rsidR="00E73DC0" w:rsidRPr="00E73DC0" w:rsidRDefault="00E73DC0" w:rsidP="00E73DC0">
      <w:pPr>
        <w:rPr>
          <w:rFonts w:asciiTheme="majorHAnsi" w:hAnsiTheme="majorHAnsi" w:cstheme="majorHAnsi"/>
        </w:rPr>
      </w:pPr>
    </w:p>
    <w:p w14:paraId="3969C7D8" w14:textId="77777777" w:rsidR="00E73DC0" w:rsidRPr="00E73DC0" w:rsidRDefault="00E73DC0" w:rsidP="00E73DC0">
      <w:pPr>
        <w:rPr>
          <w:rFonts w:asciiTheme="majorHAnsi" w:hAnsiTheme="majorHAnsi" w:cstheme="majorHAnsi"/>
        </w:rPr>
      </w:pPr>
      <w:r w:rsidRPr="00E73DC0">
        <w:rPr>
          <w:rFonts w:asciiTheme="majorHAnsi" w:hAnsiTheme="majorHAnsi" w:cstheme="majorHAnsi"/>
        </w:rPr>
        <w:t>Prior research on spacecraft attitude control commonly reports performance using metrics such as steady-state attitude error, transient settling time, control smoothness, and fault recovery capability. Classical model-based controllers, including proportional–derivative (PD) and linear quadratic regulator (LQR) designs, are widely recognized for their stability and certification compatibility. However, reported results indicate comparatively slower transient response and reduced robustness under parameter uncertainty, actuator degradation, and unmodeled disturbances. Steady-state attitude errors for such controllers are typically reported within sub-degree to degree-level accuracy, with settling times on the order of several tens of seconds under nominal simulation conditions.</w:t>
      </w:r>
    </w:p>
    <w:p w14:paraId="2A247DEA" w14:textId="77777777" w:rsidR="00E73DC0" w:rsidRPr="00E73DC0" w:rsidRDefault="00E73DC0" w:rsidP="00E73DC0">
      <w:pPr>
        <w:rPr>
          <w:rFonts w:asciiTheme="majorHAnsi" w:hAnsiTheme="majorHAnsi" w:cstheme="majorHAnsi"/>
        </w:rPr>
      </w:pPr>
    </w:p>
    <w:p w14:paraId="54FF48AE" w14:textId="77777777" w:rsidR="00E73DC0" w:rsidRPr="00E73DC0" w:rsidRDefault="00E73DC0" w:rsidP="00E73DC0">
      <w:pPr>
        <w:rPr>
          <w:rFonts w:asciiTheme="majorHAnsi" w:hAnsiTheme="majorHAnsi" w:cstheme="majorHAnsi"/>
        </w:rPr>
      </w:pPr>
      <w:r w:rsidRPr="00E73DC0">
        <w:rPr>
          <w:rFonts w:asciiTheme="majorHAnsi" w:hAnsiTheme="majorHAnsi" w:cstheme="majorHAnsi"/>
        </w:rPr>
        <w:t>In contrast, Deep Reinforcement Learning–based controllers trained in simulation environments have demonstrated improved transient performance and reduced steady-state error. Multiple studies report attitude errors on the order of tenths of a degree, along with settling times reduced by approximately half relative to classical controllers when evaluated under nominal or mildly perturbed conditions. Extensions incorporating fault tolerance mechanisms or hybrid control architectures further demonstrate the ability to maintain stability and recover acceptable performance following partial actuator failures or increased disturbance levels, although these results remain largely confined to simulation or hardware-in-the-loop settings.</w:t>
      </w:r>
    </w:p>
    <w:p w14:paraId="609430C6" w14:textId="77777777" w:rsidR="00E73DC0" w:rsidRPr="00E73DC0" w:rsidRDefault="00E73DC0" w:rsidP="00E73DC0">
      <w:pPr>
        <w:rPr>
          <w:rFonts w:asciiTheme="majorHAnsi" w:hAnsiTheme="majorHAnsi" w:cstheme="majorHAnsi"/>
        </w:rPr>
      </w:pPr>
    </w:p>
    <w:p w14:paraId="6C201D16" w14:textId="0248FFD8" w:rsidR="008E3172" w:rsidRDefault="00E73DC0" w:rsidP="00E73DC0">
      <w:pPr>
        <w:rPr>
          <w:rFonts w:asciiTheme="majorHAnsi" w:hAnsiTheme="majorHAnsi" w:cstheme="majorHAnsi"/>
        </w:rPr>
      </w:pPr>
      <w:r w:rsidRPr="00E73DC0">
        <w:rPr>
          <w:rFonts w:asciiTheme="majorHAnsi" w:hAnsiTheme="majorHAnsi" w:cstheme="majorHAnsi"/>
        </w:rPr>
        <w:t xml:space="preserve">Table </w:t>
      </w:r>
      <w:r>
        <w:rPr>
          <w:rFonts w:asciiTheme="majorHAnsi" w:hAnsiTheme="majorHAnsi" w:cstheme="majorHAnsi"/>
        </w:rPr>
        <w:t>1</w:t>
      </w:r>
      <w:r w:rsidRPr="00E73DC0">
        <w:rPr>
          <w:rFonts w:asciiTheme="majorHAnsi" w:hAnsiTheme="majorHAnsi" w:cstheme="majorHAnsi"/>
        </w:rPr>
        <w:t xml:space="preserve"> summarizes representative numerical performance ranges reported in the literature across classical, adaptive, and learning-based spacecraft attitude control approaches. The reported values are indicative rather than exhaustive and reflect typical outcomes presented by the respective authors under their chosen evaluation environments. No numerical results are claimed for the proposed framework, </w:t>
      </w:r>
      <w:r w:rsidRPr="00E73DC0">
        <w:rPr>
          <w:rFonts w:asciiTheme="majorHAnsi" w:hAnsiTheme="majorHAnsi" w:cstheme="majorHAnsi"/>
        </w:rPr>
        <w:lastRenderedPageBreak/>
        <w:t>which is intentionally included as a reference architecture rather than a competing controller implementation. Instead, the framework establishes a structured foundation for future simulation-based and experimental studies that can be directly evaluated against the literature-reported baselines summarized herein.</w:t>
      </w:r>
    </w:p>
    <w:tbl>
      <w:tblPr>
        <w:tblStyle w:val="TableGrid"/>
        <w:tblW w:w="11250" w:type="dxa"/>
        <w:tblInd w:w="-972" w:type="dxa"/>
        <w:tblLook w:val="04A0" w:firstRow="1" w:lastRow="0" w:firstColumn="1" w:lastColumn="0" w:noHBand="0" w:noVBand="1"/>
      </w:tblPr>
      <w:tblGrid>
        <w:gridCol w:w="1980"/>
        <w:gridCol w:w="1710"/>
        <w:gridCol w:w="1710"/>
        <w:gridCol w:w="2160"/>
        <w:gridCol w:w="1620"/>
        <w:gridCol w:w="2070"/>
      </w:tblGrid>
      <w:tr w:rsidR="008E3172" w14:paraId="7A194B5F" w14:textId="77777777" w:rsidTr="0029286A">
        <w:tc>
          <w:tcPr>
            <w:tcW w:w="1980" w:type="dxa"/>
            <w:vAlign w:val="bottom"/>
          </w:tcPr>
          <w:p w14:paraId="11905D82" w14:textId="5C6025AB" w:rsidR="008E3172" w:rsidRDefault="008E3172" w:rsidP="008E3172">
            <w:pPr>
              <w:jc w:val="center"/>
              <w:rPr>
                <w:rFonts w:asciiTheme="majorHAnsi" w:hAnsiTheme="majorHAnsi" w:cstheme="majorHAnsi"/>
              </w:rPr>
            </w:pPr>
            <w:r>
              <w:rPr>
                <w:rFonts w:ascii="Calibri" w:hAnsi="Calibri" w:cs="Calibri"/>
                <w:color w:val="000000"/>
              </w:rPr>
              <w:t>Approach</w:t>
            </w:r>
          </w:p>
        </w:tc>
        <w:tc>
          <w:tcPr>
            <w:tcW w:w="1710" w:type="dxa"/>
            <w:vAlign w:val="bottom"/>
          </w:tcPr>
          <w:p w14:paraId="6A5FF1A1" w14:textId="6F9205EF" w:rsidR="008E3172" w:rsidRDefault="008E3172" w:rsidP="008E3172">
            <w:pPr>
              <w:jc w:val="center"/>
              <w:rPr>
                <w:rFonts w:asciiTheme="majorHAnsi" w:hAnsiTheme="majorHAnsi" w:cstheme="majorHAnsi"/>
              </w:rPr>
            </w:pPr>
            <w:r>
              <w:rPr>
                <w:rFonts w:ascii="Calibri" w:hAnsi="Calibri" w:cs="Calibri"/>
                <w:color w:val="000000"/>
              </w:rPr>
              <w:t>Control Method</w:t>
            </w:r>
          </w:p>
        </w:tc>
        <w:tc>
          <w:tcPr>
            <w:tcW w:w="1710" w:type="dxa"/>
            <w:vAlign w:val="bottom"/>
          </w:tcPr>
          <w:p w14:paraId="7DC5B089" w14:textId="4FFA827B" w:rsidR="008E3172" w:rsidRDefault="008E3172" w:rsidP="008E3172">
            <w:pPr>
              <w:jc w:val="center"/>
              <w:rPr>
                <w:rFonts w:asciiTheme="majorHAnsi" w:hAnsiTheme="majorHAnsi" w:cstheme="majorHAnsi"/>
              </w:rPr>
            </w:pPr>
            <w:r>
              <w:rPr>
                <w:rFonts w:ascii="Calibri" w:hAnsi="Calibri" w:cs="Calibri"/>
                <w:color w:val="000000"/>
              </w:rPr>
              <w:t>Evaluation Environment</w:t>
            </w:r>
          </w:p>
        </w:tc>
        <w:tc>
          <w:tcPr>
            <w:tcW w:w="2160" w:type="dxa"/>
            <w:vAlign w:val="bottom"/>
          </w:tcPr>
          <w:p w14:paraId="24126C0F" w14:textId="586C8ECF" w:rsidR="008E3172" w:rsidRDefault="008E3172" w:rsidP="008E3172">
            <w:pPr>
              <w:jc w:val="center"/>
              <w:rPr>
                <w:rFonts w:asciiTheme="majorHAnsi" w:hAnsiTheme="majorHAnsi" w:cstheme="majorHAnsi"/>
              </w:rPr>
            </w:pPr>
            <w:r>
              <w:rPr>
                <w:rFonts w:ascii="Calibri" w:hAnsi="Calibri" w:cs="Calibri"/>
                <w:color w:val="000000"/>
              </w:rPr>
              <w:t>Steady-State Attitude Error (deg)</w:t>
            </w:r>
          </w:p>
        </w:tc>
        <w:tc>
          <w:tcPr>
            <w:tcW w:w="1620" w:type="dxa"/>
            <w:vAlign w:val="bottom"/>
          </w:tcPr>
          <w:p w14:paraId="71C851B0" w14:textId="57AF8B24" w:rsidR="008E3172" w:rsidRDefault="008E3172" w:rsidP="008E3172">
            <w:pPr>
              <w:jc w:val="center"/>
              <w:rPr>
                <w:rFonts w:asciiTheme="majorHAnsi" w:hAnsiTheme="majorHAnsi" w:cstheme="majorHAnsi"/>
              </w:rPr>
            </w:pPr>
            <w:r>
              <w:rPr>
                <w:rFonts w:ascii="Calibri" w:hAnsi="Calibri" w:cs="Calibri"/>
                <w:color w:val="000000"/>
              </w:rPr>
              <w:t>Settling Time (s)</w:t>
            </w:r>
          </w:p>
        </w:tc>
        <w:tc>
          <w:tcPr>
            <w:tcW w:w="2070" w:type="dxa"/>
            <w:vAlign w:val="bottom"/>
          </w:tcPr>
          <w:p w14:paraId="2CF2CFC4" w14:textId="0479CC28" w:rsidR="008E3172" w:rsidRDefault="008E3172" w:rsidP="008E3172">
            <w:pPr>
              <w:jc w:val="center"/>
              <w:rPr>
                <w:rFonts w:asciiTheme="majorHAnsi" w:hAnsiTheme="majorHAnsi" w:cstheme="majorHAnsi"/>
              </w:rPr>
            </w:pPr>
            <w:r>
              <w:rPr>
                <w:rFonts w:ascii="Calibri" w:hAnsi="Calibri" w:cs="Calibri"/>
                <w:color w:val="000000"/>
              </w:rPr>
              <w:t>Fault Handling</w:t>
            </w:r>
          </w:p>
        </w:tc>
      </w:tr>
      <w:tr w:rsidR="008E3172" w14:paraId="3F90130E" w14:textId="77777777" w:rsidTr="0029286A">
        <w:tc>
          <w:tcPr>
            <w:tcW w:w="1980" w:type="dxa"/>
            <w:vAlign w:val="bottom"/>
          </w:tcPr>
          <w:p w14:paraId="376D6C0E" w14:textId="4F99D978" w:rsidR="008E3172" w:rsidRDefault="008E3172" w:rsidP="008E3172">
            <w:pPr>
              <w:jc w:val="center"/>
              <w:rPr>
                <w:rFonts w:asciiTheme="majorHAnsi" w:hAnsiTheme="majorHAnsi" w:cstheme="majorHAnsi"/>
              </w:rPr>
            </w:pPr>
            <w:r>
              <w:rPr>
                <w:rFonts w:ascii="Calibri" w:hAnsi="Calibri" w:cs="Calibri"/>
                <w:color w:val="000000"/>
              </w:rPr>
              <w:t>Classical Control</w:t>
            </w:r>
          </w:p>
        </w:tc>
        <w:tc>
          <w:tcPr>
            <w:tcW w:w="1710" w:type="dxa"/>
            <w:vAlign w:val="bottom"/>
          </w:tcPr>
          <w:p w14:paraId="7BD72854" w14:textId="5C38C09C" w:rsidR="008E3172" w:rsidRDefault="008E3172" w:rsidP="008E3172">
            <w:pPr>
              <w:jc w:val="center"/>
              <w:rPr>
                <w:rFonts w:asciiTheme="majorHAnsi" w:hAnsiTheme="majorHAnsi" w:cstheme="majorHAnsi"/>
              </w:rPr>
            </w:pPr>
            <w:r>
              <w:rPr>
                <w:rFonts w:ascii="Calibri" w:hAnsi="Calibri" w:cs="Calibri"/>
                <w:color w:val="000000"/>
              </w:rPr>
              <w:t>PD / LQR</w:t>
            </w:r>
          </w:p>
        </w:tc>
        <w:tc>
          <w:tcPr>
            <w:tcW w:w="1710" w:type="dxa"/>
            <w:vAlign w:val="bottom"/>
          </w:tcPr>
          <w:p w14:paraId="08331727" w14:textId="7A0BBA9B" w:rsidR="008E3172" w:rsidRDefault="00E73DC0" w:rsidP="00E73DC0">
            <w:pPr>
              <w:jc w:val="center"/>
              <w:rPr>
                <w:rFonts w:asciiTheme="majorHAnsi" w:hAnsiTheme="majorHAnsi" w:cstheme="majorHAnsi"/>
              </w:rPr>
            </w:pPr>
            <w:r w:rsidRPr="00E73DC0">
              <w:rPr>
                <w:rFonts w:ascii="Calibri" w:hAnsi="Calibri" w:cs="Calibri"/>
                <w:color w:val="000000"/>
              </w:rPr>
              <w:t>Simulation / Flight Heritage</w:t>
            </w:r>
          </w:p>
        </w:tc>
        <w:tc>
          <w:tcPr>
            <w:tcW w:w="2160" w:type="dxa"/>
            <w:vAlign w:val="bottom"/>
          </w:tcPr>
          <w:p w14:paraId="2B0BF7BB" w14:textId="6961C0A9" w:rsidR="008E3172" w:rsidRDefault="008E3172" w:rsidP="008E3172">
            <w:pPr>
              <w:jc w:val="center"/>
              <w:rPr>
                <w:rFonts w:asciiTheme="majorHAnsi" w:hAnsiTheme="majorHAnsi" w:cstheme="majorHAnsi"/>
              </w:rPr>
            </w:pPr>
            <w:r>
              <w:rPr>
                <w:rFonts w:ascii="Calibri" w:hAnsi="Calibri" w:cs="Calibri"/>
                <w:color w:val="000000"/>
              </w:rPr>
              <w:t>0.5 – 1.0</w:t>
            </w:r>
          </w:p>
        </w:tc>
        <w:tc>
          <w:tcPr>
            <w:tcW w:w="1620" w:type="dxa"/>
            <w:vAlign w:val="bottom"/>
          </w:tcPr>
          <w:p w14:paraId="052B7C22" w14:textId="662903C9" w:rsidR="008E3172" w:rsidRDefault="008E3172" w:rsidP="008E3172">
            <w:pPr>
              <w:jc w:val="center"/>
              <w:rPr>
                <w:rFonts w:asciiTheme="majorHAnsi" w:hAnsiTheme="majorHAnsi" w:cstheme="majorHAnsi"/>
              </w:rPr>
            </w:pPr>
            <w:r>
              <w:rPr>
                <w:rFonts w:ascii="Calibri" w:hAnsi="Calibri" w:cs="Calibri"/>
                <w:color w:val="000000"/>
              </w:rPr>
              <w:t>40 – 60</w:t>
            </w:r>
          </w:p>
        </w:tc>
        <w:tc>
          <w:tcPr>
            <w:tcW w:w="2070" w:type="dxa"/>
            <w:vAlign w:val="bottom"/>
          </w:tcPr>
          <w:p w14:paraId="7045C47E" w14:textId="4E83218B" w:rsidR="008E3172" w:rsidRDefault="008E3172" w:rsidP="008E3172">
            <w:pPr>
              <w:jc w:val="center"/>
              <w:rPr>
                <w:rFonts w:asciiTheme="majorHAnsi" w:hAnsiTheme="majorHAnsi" w:cstheme="majorHAnsi"/>
              </w:rPr>
            </w:pPr>
            <w:r>
              <w:rPr>
                <w:rFonts w:ascii="Calibri" w:hAnsi="Calibri" w:cs="Calibri"/>
                <w:color w:val="000000"/>
              </w:rPr>
              <w:t>No</w:t>
            </w:r>
          </w:p>
        </w:tc>
      </w:tr>
      <w:tr w:rsidR="00E73DC0" w14:paraId="283CAF63" w14:textId="77777777" w:rsidTr="0029286A">
        <w:tc>
          <w:tcPr>
            <w:tcW w:w="1980" w:type="dxa"/>
            <w:vAlign w:val="bottom"/>
          </w:tcPr>
          <w:p w14:paraId="57F0AAB9" w14:textId="7A63C35A" w:rsidR="00E73DC0" w:rsidRDefault="00E73DC0" w:rsidP="00E73DC0">
            <w:pPr>
              <w:jc w:val="center"/>
              <w:rPr>
                <w:rFonts w:ascii="Calibri" w:hAnsi="Calibri" w:cs="Calibri"/>
                <w:color w:val="000000"/>
              </w:rPr>
            </w:pPr>
            <w:r w:rsidRPr="00E73DC0">
              <w:rPr>
                <w:rFonts w:ascii="Calibri" w:hAnsi="Calibri" w:cs="Calibri"/>
                <w:color w:val="000000"/>
              </w:rPr>
              <w:t>Robust Model-Based Control</w:t>
            </w:r>
          </w:p>
        </w:tc>
        <w:tc>
          <w:tcPr>
            <w:tcW w:w="1710" w:type="dxa"/>
            <w:vAlign w:val="bottom"/>
          </w:tcPr>
          <w:p w14:paraId="46D25CD7" w14:textId="38C277F4" w:rsidR="00E73DC0" w:rsidRDefault="00E73DC0" w:rsidP="00E73DC0">
            <w:pPr>
              <w:jc w:val="center"/>
              <w:rPr>
                <w:rFonts w:ascii="Calibri" w:hAnsi="Calibri" w:cs="Calibri"/>
                <w:color w:val="000000"/>
              </w:rPr>
            </w:pPr>
            <w:r w:rsidRPr="00E73DC0">
              <w:rPr>
                <w:rFonts w:ascii="Calibri" w:hAnsi="Calibri" w:cs="Calibri"/>
                <w:color w:val="000000"/>
              </w:rPr>
              <w:t>H∞ / Adaptive MPC</w:t>
            </w:r>
          </w:p>
        </w:tc>
        <w:tc>
          <w:tcPr>
            <w:tcW w:w="1710" w:type="dxa"/>
            <w:vAlign w:val="bottom"/>
          </w:tcPr>
          <w:p w14:paraId="0F407196" w14:textId="2852BDC9" w:rsidR="00E73DC0" w:rsidRPr="00E73DC0" w:rsidRDefault="00E73DC0" w:rsidP="00E73DC0">
            <w:pPr>
              <w:jc w:val="center"/>
              <w:rPr>
                <w:rFonts w:ascii="Calibri" w:hAnsi="Calibri" w:cs="Calibri"/>
                <w:color w:val="000000"/>
              </w:rPr>
            </w:pPr>
            <w:r w:rsidRPr="00E73DC0">
              <w:rPr>
                <w:rFonts w:ascii="Calibri" w:hAnsi="Calibri" w:cs="Calibri"/>
                <w:color w:val="000000"/>
              </w:rPr>
              <w:t>Simulation / HIL</w:t>
            </w:r>
          </w:p>
        </w:tc>
        <w:tc>
          <w:tcPr>
            <w:tcW w:w="2160" w:type="dxa"/>
            <w:vAlign w:val="bottom"/>
          </w:tcPr>
          <w:p w14:paraId="365233ED" w14:textId="29F51F19" w:rsidR="00E73DC0" w:rsidRDefault="00E73DC0" w:rsidP="00E73DC0">
            <w:pPr>
              <w:jc w:val="center"/>
              <w:rPr>
                <w:rFonts w:ascii="Calibri" w:hAnsi="Calibri" w:cs="Calibri"/>
                <w:color w:val="000000"/>
              </w:rPr>
            </w:pPr>
            <w:r w:rsidRPr="00E73DC0">
              <w:rPr>
                <w:rFonts w:ascii="Calibri" w:hAnsi="Calibri" w:cs="Calibri"/>
                <w:color w:val="000000"/>
              </w:rPr>
              <w:t>0.3 – 0.6</w:t>
            </w:r>
          </w:p>
        </w:tc>
        <w:tc>
          <w:tcPr>
            <w:tcW w:w="1620" w:type="dxa"/>
            <w:vAlign w:val="bottom"/>
          </w:tcPr>
          <w:p w14:paraId="0A9ED9ED" w14:textId="22B20CCD" w:rsidR="00E73DC0" w:rsidRDefault="00E73DC0" w:rsidP="008E3172">
            <w:pPr>
              <w:jc w:val="center"/>
              <w:rPr>
                <w:rFonts w:ascii="Calibri" w:hAnsi="Calibri" w:cs="Calibri"/>
                <w:color w:val="000000"/>
              </w:rPr>
            </w:pPr>
            <w:r w:rsidRPr="00E73DC0">
              <w:rPr>
                <w:rFonts w:ascii="Calibri" w:hAnsi="Calibri" w:cs="Calibri"/>
                <w:color w:val="000000"/>
              </w:rPr>
              <w:t>30 – 45</w:t>
            </w:r>
          </w:p>
        </w:tc>
        <w:tc>
          <w:tcPr>
            <w:tcW w:w="2070" w:type="dxa"/>
            <w:vAlign w:val="bottom"/>
          </w:tcPr>
          <w:p w14:paraId="0B1B0FE0" w14:textId="4B4EA175" w:rsidR="00E73DC0" w:rsidRDefault="00E73DC0" w:rsidP="00E73DC0">
            <w:pPr>
              <w:jc w:val="center"/>
              <w:rPr>
                <w:rFonts w:ascii="Calibri" w:hAnsi="Calibri" w:cs="Calibri"/>
                <w:color w:val="000000"/>
              </w:rPr>
            </w:pPr>
            <w:r w:rsidRPr="00E73DC0">
              <w:rPr>
                <w:rFonts w:ascii="Calibri" w:hAnsi="Calibri" w:cs="Calibri"/>
                <w:color w:val="000000"/>
              </w:rPr>
              <w:t>Limited</w:t>
            </w:r>
          </w:p>
        </w:tc>
      </w:tr>
      <w:tr w:rsidR="008E3172" w14:paraId="1F26C8EA" w14:textId="77777777" w:rsidTr="0029286A">
        <w:tc>
          <w:tcPr>
            <w:tcW w:w="1980" w:type="dxa"/>
            <w:vAlign w:val="bottom"/>
          </w:tcPr>
          <w:p w14:paraId="1537CE8A" w14:textId="17AA9E13" w:rsidR="008E3172" w:rsidRDefault="008E3172" w:rsidP="008E3172">
            <w:pPr>
              <w:jc w:val="center"/>
              <w:rPr>
                <w:rFonts w:asciiTheme="majorHAnsi" w:hAnsiTheme="majorHAnsi" w:cstheme="majorHAnsi"/>
              </w:rPr>
            </w:pPr>
            <w:r>
              <w:rPr>
                <w:rFonts w:ascii="Calibri" w:hAnsi="Calibri" w:cs="Calibri"/>
                <w:color w:val="000000"/>
              </w:rPr>
              <w:t>Nominal DRL</w:t>
            </w:r>
          </w:p>
        </w:tc>
        <w:tc>
          <w:tcPr>
            <w:tcW w:w="1710" w:type="dxa"/>
            <w:vAlign w:val="bottom"/>
          </w:tcPr>
          <w:p w14:paraId="18FB3E6E" w14:textId="077F0ACF" w:rsidR="008E3172" w:rsidRDefault="008E3172" w:rsidP="008E3172">
            <w:pPr>
              <w:jc w:val="center"/>
              <w:rPr>
                <w:rFonts w:asciiTheme="majorHAnsi" w:hAnsiTheme="majorHAnsi" w:cstheme="majorHAnsi"/>
              </w:rPr>
            </w:pPr>
            <w:r>
              <w:rPr>
                <w:rFonts w:ascii="Calibri" w:hAnsi="Calibri" w:cs="Calibri"/>
                <w:color w:val="000000"/>
              </w:rPr>
              <w:t>PPO / DDPG</w:t>
            </w:r>
          </w:p>
        </w:tc>
        <w:tc>
          <w:tcPr>
            <w:tcW w:w="1710" w:type="dxa"/>
            <w:vAlign w:val="bottom"/>
          </w:tcPr>
          <w:p w14:paraId="7996C192" w14:textId="579C2C4E" w:rsidR="008E3172" w:rsidRDefault="00E73DC0" w:rsidP="00E73DC0">
            <w:pPr>
              <w:jc w:val="center"/>
              <w:rPr>
                <w:rFonts w:asciiTheme="majorHAnsi" w:hAnsiTheme="majorHAnsi" w:cstheme="majorHAnsi"/>
              </w:rPr>
            </w:pPr>
            <w:r w:rsidRPr="00E73DC0">
              <w:rPr>
                <w:rFonts w:ascii="Calibri" w:hAnsi="Calibri" w:cs="Calibri"/>
                <w:color w:val="000000"/>
              </w:rPr>
              <w:t xml:space="preserve">Simulation </w:t>
            </w:r>
          </w:p>
        </w:tc>
        <w:tc>
          <w:tcPr>
            <w:tcW w:w="2160" w:type="dxa"/>
            <w:vAlign w:val="bottom"/>
          </w:tcPr>
          <w:p w14:paraId="278D0669" w14:textId="1A7C5065" w:rsidR="008E3172" w:rsidRDefault="008E3172" w:rsidP="008E3172">
            <w:pPr>
              <w:jc w:val="center"/>
              <w:rPr>
                <w:rFonts w:asciiTheme="majorHAnsi" w:hAnsiTheme="majorHAnsi" w:cstheme="majorHAnsi"/>
              </w:rPr>
            </w:pPr>
            <w:r>
              <w:rPr>
                <w:rFonts w:ascii="Calibri" w:hAnsi="Calibri" w:cs="Calibri"/>
                <w:color w:val="000000"/>
              </w:rPr>
              <w:t>0.1 – 0.3</w:t>
            </w:r>
          </w:p>
        </w:tc>
        <w:tc>
          <w:tcPr>
            <w:tcW w:w="1620" w:type="dxa"/>
            <w:vAlign w:val="bottom"/>
          </w:tcPr>
          <w:p w14:paraId="683BB419" w14:textId="2E24E199" w:rsidR="008E3172" w:rsidRDefault="008E3172" w:rsidP="008E3172">
            <w:pPr>
              <w:jc w:val="center"/>
              <w:rPr>
                <w:rFonts w:asciiTheme="majorHAnsi" w:hAnsiTheme="majorHAnsi" w:cstheme="majorHAnsi"/>
              </w:rPr>
            </w:pPr>
            <w:r>
              <w:rPr>
                <w:rFonts w:ascii="Calibri" w:hAnsi="Calibri" w:cs="Calibri"/>
                <w:color w:val="000000"/>
              </w:rPr>
              <w:t>20 – 30</w:t>
            </w:r>
          </w:p>
        </w:tc>
        <w:tc>
          <w:tcPr>
            <w:tcW w:w="2070" w:type="dxa"/>
            <w:vAlign w:val="bottom"/>
          </w:tcPr>
          <w:p w14:paraId="557907A3" w14:textId="57EF792E" w:rsidR="008E3172" w:rsidRDefault="008E3172" w:rsidP="008E3172">
            <w:pPr>
              <w:jc w:val="center"/>
              <w:rPr>
                <w:rFonts w:asciiTheme="majorHAnsi" w:hAnsiTheme="majorHAnsi" w:cstheme="majorHAnsi"/>
              </w:rPr>
            </w:pPr>
            <w:r>
              <w:rPr>
                <w:rFonts w:ascii="Calibri" w:hAnsi="Calibri" w:cs="Calibri"/>
                <w:color w:val="000000"/>
              </w:rPr>
              <w:t>Limited</w:t>
            </w:r>
          </w:p>
        </w:tc>
      </w:tr>
      <w:tr w:rsidR="008E3172" w14:paraId="50BFBBD3" w14:textId="77777777" w:rsidTr="0029286A">
        <w:tc>
          <w:tcPr>
            <w:tcW w:w="1980" w:type="dxa"/>
            <w:vAlign w:val="bottom"/>
          </w:tcPr>
          <w:p w14:paraId="2DF68489" w14:textId="1908C84F" w:rsidR="008E3172" w:rsidRDefault="008E3172" w:rsidP="008E3172">
            <w:pPr>
              <w:jc w:val="center"/>
              <w:rPr>
                <w:rFonts w:asciiTheme="majorHAnsi" w:hAnsiTheme="majorHAnsi" w:cstheme="majorHAnsi"/>
              </w:rPr>
            </w:pPr>
            <w:r>
              <w:rPr>
                <w:rFonts w:ascii="Calibri" w:hAnsi="Calibri" w:cs="Calibri"/>
                <w:color w:val="000000"/>
              </w:rPr>
              <w:t>Fault-Tolerant DRL</w:t>
            </w:r>
          </w:p>
        </w:tc>
        <w:tc>
          <w:tcPr>
            <w:tcW w:w="1710" w:type="dxa"/>
            <w:vAlign w:val="bottom"/>
          </w:tcPr>
          <w:p w14:paraId="65475934" w14:textId="00F93613" w:rsidR="008E3172" w:rsidRDefault="008E3172" w:rsidP="008E3172">
            <w:pPr>
              <w:jc w:val="center"/>
              <w:rPr>
                <w:rFonts w:asciiTheme="majorHAnsi" w:hAnsiTheme="majorHAnsi" w:cstheme="majorHAnsi"/>
              </w:rPr>
            </w:pPr>
            <w:r>
              <w:rPr>
                <w:rFonts w:ascii="Calibri" w:hAnsi="Calibri" w:cs="Calibri"/>
                <w:color w:val="000000"/>
              </w:rPr>
              <w:t>PPO / TD3 variants</w:t>
            </w:r>
          </w:p>
        </w:tc>
        <w:tc>
          <w:tcPr>
            <w:tcW w:w="1710" w:type="dxa"/>
            <w:vAlign w:val="bottom"/>
          </w:tcPr>
          <w:p w14:paraId="7D360D22" w14:textId="739C334B" w:rsidR="008E3172" w:rsidRDefault="008E3172" w:rsidP="008E3172">
            <w:pPr>
              <w:jc w:val="center"/>
              <w:rPr>
                <w:rFonts w:asciiTheme="majorHAnsi" w:hAnsiTheme="majorHAnsi" w:cstheme="majorHAnsi"/>
              </w:rPr>
            </w:pPr>
            <w:r>
              <w:rPr>
                <w:rFonts w:ascii="Calibri" w:hAnsi="Calibri" w:cs="Calibri"/>
                <w:color w:val="000000"/>
              </w:rPr>
              <w:t>Simulation</w:t>
            </w:r>
          </w:p>
        </w:tc>
        <w:tc>
          <w:tcPr>
            <w:tcW w:w="2160" w:type="dxa"/>
            <w:vAlign w:val="bottom"/>
          </w:tcPr>
          <w:p w14:paraId="1DA2CB1D" w14:textId="4A68AD85" w:rsidR="008E3172" w:rsidRDefault="008E3172" w:rsidP="008E3172">
            <w:pPr>
              <w:jc w:val="center"/>
              <w:rPr>
                <w:rFonts w:asciiTheme="majorHAnsi" w:hAnsiTheme="majorHAnsi" w:cstheme="majorHAnsi"/>
              </w:rPr>
            </w:pPr>
            <w:r>
              <w:rPr>
                <w:rFonts w:ascii="Calibri" w:hAnsi="Calibri" w:cs="Calibri"/>
                <w:color w:val="000000"/>
              </w:rPr>
              <w:t>0.2 – 0.4</w:t>
            </w:r>
          </w:p>
        </w:tc>
        <w:tc>
          <w:tcPr>
            <w:tcW w:w="1620" w:type="dxa"/>
            <w:vAlign w:val="bottom"/>
          </w:tcPr>
          <w:p w14:paraId="0956D175" w14:textId="2CD5B4A3" w:rsidR="008E3172" w:rsidRDefault="008E3172" w:rsidP="008E3172">
            <w:pPr>
              <w:jc w:val="center"/>
              <w:rPr>
                <w:rFonts w:asciiTheme="majorHAnsi" w:hAnsiTheme="majorHAnsi" w:cstheme="majorHAnsi"/>
              </w:rPr>
            </w:pPr>
            <w:r>
              <w:rPr>
                <w:rFonts w:ascii="Calibri" w:hAnsi="Calibri" w:cs="Calibri"/>
                <w:color w:val="000000"/>
              </w:rPr>
              <w:t>25 – 35</w:t>
            </w:r>
          </w:p>
        </w:tc>
        <w:tc>
          <w:tcPr>
            <w:tcW w:w="2070" w:type="dxa"/>
            <w:vAlign w:val="bottom"/>
          </w:tcPr>
          <w:p w14:paraId="62AE38A3" w14:textId="1D7FAB95" w:rsidR="008E3172" w:rsidRDefault="008E3172" w:rsidP="008E3172">
            <w:pPr>
              <w:jc w:val="center"/>
              <w:rPr>
                <w:rFonts w:asciiTheme="majorHAnsi" w:hAnsiTheme="majorHAnsi" w:cstheme="majorHAnsi"/>
              </w:rPr>
            </w:pPr>
            <w:r>
              <w:rPr>
                <w:rFonts w:ascii="Calibri" w:hAnsi="Calibri" w:cs="Calibri"/>
                <w:color w:val="000000"/>
              </w:rPr>
              <w:t>Yes</w:t>
            </w:r>
          </w:p>
        </w:tc>
      </w:tr>
      <w:tr w:rsidR="008E3172" w14:paraId="7840EE06" w14:textId="77777777" w:rsidTr="0029286A">
        <w:tc>
          <w:tcPr>
            <w:tcW w:w="1980" w:type="dxa"/>
            <w:vAlign w:val="bottom"/>
          </w:tcPr>
          <w:p w14:paraId="66957C18" w14:textId="45E628DA" w:rsidR="008E3172" w:rsidRDefault="008E3172" w:rsidP="008E3172">
            <w:pPr>
              <w:jc w:val="center"/>
              <w:rPr>
                <w:rFonts w:asciiTheme="majorHAnsi" w:hAnsiTheme="majorHAnsi" w:cstheme="majorHAnsi"/>
              </w:rPr>
            </w:pPr>
            <w:r>
              <w:rPr>
                <w:rFonts w:ascii="Calibri" w:hAnsi="Calibri" w:cs="Calibri"/>
                <w:color w:val="000000"/>
              </w:rPr>
              <w:t>Hybrid Control</w:t>
            </w:r>
          </w:p>
        </w:tc>
        <w:tc>
          <w:tcPr>
            <w:tcW w:w="1710" w:type="dxa"/>
            <w:vAlign w:val="bottom"/>
          </w:tcPr>
          <w:p w14:paraId="0FC69AE2" w14:textId="062FE8ED" w:rsidR="008E3172" w:rsidRDefault="008E3172" w:rsidP="00E73DC0">
            <w:pPr>
              <w:jc w:val="center"/>
              <w:rPr>
                <w:rFonts w:asciiTheme="majorHAnsi" w:hAnsiTheme="majorHAnsi" w:cstheme="majorHAnsi"/>
              </w:rPr>
            </w:pPr>
            <w:r>
              <w:rPr>
                <w:rFonts w:ascii="Calibri" w:hAnsi="Calibri" w:cs="Calibri"/>
                <w:color w:val="000000"/>
              </w:rPr>
              <w:t>DRL + Classical</w:t>
            </w:r>
            <w:r w:rsidR="00E73DC0" w:rsidRPr="00E73DC0">
              <w:rPr>
                <w:rFonts w:ascii="Calibri" w:hAnsi="Calibri" w:cs="Calibri"/>
                <w:color w:val="000000"/>
              </w:rPr>
              <w:t>/ MPC</w:t>
            </w:r>
          </w:p>
        </w:tc>
        <w:tc>
          <w:tcPr>
            <w:tcW w:w="1710" w:type="dxa"/>
            <w:vAlign w:val="bottom"/>
          </w:tcPr>
          <w:p w14:paraId="513094BC" w14:textId="62EEB44B" w:rsidR="008E3172" w:rsidRDefault="008E3172" w:rsidP="008E3172">
            <w:pPr>
              <w:jc w:val="center"/>
              <w:rPr>
                <w:rFonts w:asciiTheme="majorHAnsi" w:hAnsiTheme="majorHAnsi" w:cstheme="majorHAnsi"/>
              </w:rPr>
            </w:pPr>
            <w:r>
              <w:rPr>
                <w:rFonts w:ascii="Calibri" w:hAnsi="Calibri" w:cs="Calibri"/>
                <w:color w:val="000000"/>
              </w:rPr>
              <w:t>Simulation / HIL</w:t>
            </w:r>
          </w:p>
        </w:tc>
        <w:tc>
          <w:tcPr>
            <w:tcW w:w="2160" w:type="dxa"/>
            <w:vAlign w:val="bottom"/>
          </w:tcPr>
          <w:p w14:paraId="4FC6D8D2" w14:textId="7A877AB5" w:rsidR="008E3172" w:rsidRDefault="008E3172" w:rsidP="008E3172">
            <w:pPr>
              <w:jc w:val="center"/>
              <w:rPr>
                <w:rFonts w:asciiTheme="majorHAnsi" w:hAnsiTheme="majorHAnsi" w:cstheme="majorHAnsi"/>
              </w:rPr>
            </w:pPr>
            <w:r>
              <w:rPr>
                <w:rFonts w:ascii="Calibri" w:hAnsi="Calibri" w:cs="Calibri"/>
                <w:color w:val="000000"/>
              </w:rPr>
              <w:t>0.15 – 0.3</w:t>
            </w:r>
          </w:p>
        </w:tc>
        <w:tc>
          <w:tcPr>
            <w:tcW w:w="1620" w:type="dxa"/>
            <w:vAlign w:val="bottom"/>
          </w:tcPr>
          <w:p w14:paraId="1A78D90B" w14:textId="3A7B6D50" w:rsidR="008E3172" w:rsidRDefault="008E3172" w:rsidP="008E3172">
            <w:pPr>
              <w:jc w:val="center"/>
              <w:rPr>
                <w:rFonts w:asciiTheme="majorHAnsi" w:hAnsiTheme="majorHAnsi" w:cstheme="majorHAnsi"/>
              </w:rPr>
            </w:pPr>
            <w:r>
              <w:rPr>
                <w:rFonts w:ascii="Calibri" w:hAnsi="Calibri" w:cs="Calibri"/>
                <w:color w:val="000000"/>
              </w:rPr>
              <w:t>20 – 30</w:t>
            </w:r>
          </w:p>
        </w:tc>
        <w:tc>
          <w:tcPr>
            <w:tcW w:w="2070" w:type="dxa"/>
            <w:vAlign w:val="bottom"/>
          </w:tcPr>
          <w:p w14:paraId="292B2BED" w14:textId="2C1D5DC5" w:rsidR="008E3172" w:rsidRDefault="008E3172" w:rsidP="008E3172">
            <w:pPr>
              <w:jc w:val="center"/>
              <w:rPr>
                <w:rFonts w:asciiTheme="majorHAnsi" w:hAnsiTheme="majorHAnsi" w:cstheme="majorHAnsi"/>
              </w:rPr>
            </w:pPr>
            <w:r>
              <w:rPr>
                <w:rFonts w:ascii="Calibri" w:hAnsi="Calibri" w:cs="Calibri"/>
                <w:color w:val="000000"/>
              </w:rPr>
              <w:t>Yes</w:t>
            </w:r>
          </w:p>
        </w:tc>
      </w:tr>
      <w:tr w:rsidR="008E3172" w14:paraId="232AABAC" w14:textId="77777777" w:rsidTr="0029286A">
        <w:tc>
          <w:tcPr>
            <w:tcW w:w="1980" w:type="dxa"/>
            <w:vAlign w:val="bottom"/>
          </w:tcPr>
          <w:p w14:paraId="6DF84E98" w14:textId="7DA321E2" w:rsidR="008E3172" w:rsidRDefault="008E3172" w:rsidP="008E3172">
            <w:pPr>
              <w:jc w:val="center"/>
              <w:rPr>
                <w:rFonts w:asciiTheme="majorHAnsi" w:hAnsiTheme="majorHAnsi" w:cstheme="majorHAnsi"/>
              </w:rPr>
            </w:pPr>
            <w:r>
              <w:rPr>
                <w:rFonts w:ascii="Calibri" w:hAnsi="Calibri" w:cs="Calibri"/>
                <w:color w:val="000000"/>
              </w:rPr>
              <w:t>Proposed Framework</w:t>
            </w:r>
          </w:p>
        </w:tc>
        <w:tc>
          <w:tcPr>
            <w:tcW w:w="1710" w:type="dxa"/>
            <w:vAlign w:val="bottom"/>
          </w:tcPr>
          <w:p w14:paraId="69EC0524" w14:textId="7657DAB4" w:rsidR="008E3172" w:rsidRDefault="008E3172" w:rsidP="008E3172">
            <w:pPr>
              <w:jc w:val="center"/>
              <w:rPr>
                <w:rFonts w:asciiTheme="majorHAnsi" w:hAnsiTheme="majorHAnsi" w:cstheme="majorHAnsi"/>
              </w:rPr>
            </w:pPr>
            <w:r>
              <w:rPr>
                <w:rFonts w:ascii="Calibri" w:hAnsi="Calibri" w:cs="Calibri"/>
                <w:color w:val="000000"/>
              </w:rPr>
              <w:t>DRL + Sim-to-Real Architecture</w:t>
            </w:r>
          </w:p>
        </w:tc>
        <w:tc>
          <w:tcPr>
            <w:tcW w:w="1710" w:type="dxa"/>
            <w:vAlign w:val="bottom"/>
          </w:tcPr>
          <w:p w14:paraId="094C1BE5" w14:textId="1E1EE144" w:rsidR="00E73DC0" w:rsidRDefault="00E73DC0" w:rsidP="00D9715E">
            <w:pPr>
              <w:rPr>
                <w:rFonts w:asciiTheme="majorHAnsi" w:hAnsiTheme="majorHAnsi" w:cstheme="majorHAnsi"/>
              </w:rPr>
            </w:pPr>
          </w:p>
          <w:p w14:paraId="1E8E33E3" w14:textId="71168DD5" w:rsidR="008E3172" w:rsidRDefault="00E73DC0" w:rsidP="00E73DC0">
            <w:pPr>
              <w:jc w:val="center"/>
              <w:rPr>
                <w:rFonts w:asciiTheme="majorHAnsi" w:hAnsiTheme="majorHAnsi" w:cstheme="majorHAnsi"/>
              </w:rPr>
            </w:pPr>
            <w:r w:rsidRPr="00E73DC0">
              <w:rPr>
                <w:rFonts w:asciiTheme="majorHAnsi" w:hAnsiTheme="majorHAnsi" w:cstheme="majorHAnsi"/>
              </w:rPr>
              <w:t>(Theoretical)</w:t>
            </w:r>
          </w:p>
        </w:tc>
        <w:tc>
          <w:tcPr>
            <w:tcW w:w="2160" w:type="dxa"/>
            <w:vAlign w:val="bottom"/>
          </w:tcPr>
          <w:p w14:paraId="50693DF7" w14:textId="298E397B" w:rsidR="008E3172" w:rsidRDefault="00E73DC0" w:rsidP="00E73DC0">
            <w:pPr>
              <w:jc w:val="center"/>
              <w:rPr>
                <w:rFonts w:asciiTheme="majorHAnsi" w:hAnsiTheme="majorHAnsi" w:cstheme="majorHAnsi"/>
              </w:rPr>
            </w:pPr>
            <w:r w:rsidRPr="00E73DC0">
              <w:rPr>
                <w:rFonts w:ascii="Calibri" w:hAnsi="Calibri" w:cs="Calibri"/>
                <w:color w:val="000000"/>
              </w:rPr>
              <w:t>Comparable to robust DRL under uncertainty</w:t>
            </w:r>
          </w:p>
        </w:tc>
        <w:tc>
          <w:tcPr>
            <w:tcW w:w="1620" w:type="dxa"/>
            <w:vAlign w:val="bottom"/>
          </w:tcPr>
          <w:p w14:paraId="707B16E7" w14:textId="2798C046" w:rsidR="008E3172" w:rsidRDefault="00E73DC0" w:rsidP="00E73DC0">
            <w:pPr>
              <w:jc w:val="center"/>
              <w:rPr>
                <w:rFonts w:asciiTheme="majorHAnsi" w:hAnsiTheme="majorHAnsi" w:cstheme="majorHAnsi"/>
              </w:rPr>
            </w:pPr>
            <w:r w:rsidRPr="00E73DC0">
              <w:rPr>
                <w:rFonts w:ascii="Calibri" w:hAnsi="Calibri" w:cs="Calibri"/>
                <w:color w:val="000000"/>
              </w:rPr>
              <w:t>Comparable with bounded degradation</w:t>
            </w:r>
          </w:p>
        </w:tc>
        <w:tc>
          <w:tcPr>
            <w:tcW w:w="2070" w:type="dxa"/>
            <w:vAlign w:val="bottom"/>
          </w:tcPr>
          <w:p w14:paraId="3D2A8485" w14:textId="1562A62A" w:rsidR="008E3172" w:rsidRDefault="00E73DC0" w:rsidP="00E73DC0">
            <w:pPr>
              <w:jc w:val="center"/>
              <w:rPr>
                <w:rFonts w:asciiTheme="majorHAnsi" w:hAnsiTheme="majorHAnsi" w:cstheme="majorHAnsi"/>
              </w:rPr>
            </w:pPr>
            <w:r w:rsidRPr="00E73DC0">
              <w:rPr>
                <w:rFonts w:ascii="Calibri" w:hAnsi="Calibri" w:cs="Calibri"/>
                <w:color w:val="000000"/>
              </w:rPr>
              <w:t>Explicitly enforced via safety envelope</w:t>
            </w:r>
          </w:p>
        </w:tc>
      </w:tr>
    </w:tbl>
    <w:p w14:paraId="79FC3680" w14:textId="77777777" w:rsidR="008E3172" w:rsidRDefault="008E3172" w:rsidP="008E3172">
      <w:pPr>
        <w:rPr>
          <w:rFonts w:asciiTheme="majorHAnsi" w:hAnsiTheme="majorHAnsi" w:cstheme="majorHAnsi"/>
        </w:rPr>
      </w:pPr>
    </w:p>
    <w:p w14:paraId="5F5481DA" w14:textId="77777777" w:rsidR="00A11C15" w:rsidRDefault="00A11C15" w:rsidP="00A11C15">
      <w:pPr>
        <w:rPr>
          <w:b/>
          <w:bCs/>
        </w:rPr>
      </w:pPr>
      <w:r w:rsidRPr="00A11C15">
        <w:t xml:space="preserve">Note: Numerical ranges reported in Table </w:t>
      </w:r>
      <w:r>
        <w:rPr>
          <w:b/>
          <w:bCs/>
        </w:rPr>
        <w:t>1</w:t>
      </w:r>
      <w:r w:rsidRPr="00A11C15">
        <w:t xml:space="preserve"> are extracted from representative prior studies [1–3,8–10]. The proposed Sim-to-Real framework does not claim numerical performance and is intended as a reference architecture for future implementation rather than a competing controller.</w:t>
      </w:r>
    </w:p>
    <w:p w14:paraId="307560B0" w14:textId="48068267" w:rsidR="00A11C15" w:rsidRPr="00A11C15" w:rsidRDefault="00A11C15" w:rsidP="00A11C15">
      <w:pPr>
        <w:rPr>
          <w:rFonts w:cstheme="majorHAnsi"/>
        </w:rPr>
      </w:pPr>
      <w:r w:rsidRPr="00A11C15">
        <w:rPr>
          <w:rFonts w:cstheme="majorHAnsi"/>
        </w:rPr>
        <w:t>T</w:t>
      </w:r>
      <w:r>
        <w:rPr>
          <w:rFonts w:cstheme="majorHAnsi"/>
          <w:b/>
          <w:bCs/>
        </w:rPr>
        <w:t>h</w:t>
      </w:r>
      <w:r w:rsidRPr="00A11C15">
        <w:rPr>
          <w:rFonts w:cstheme="majorHAnsi"/>
        </w:rPr>
        <w:t>e reported results indicate that learning-based controllers can outperform classical model-based approaches in terms of steady-state accuracy and transient response when evaluated under controlled simulation conditions. However, these numerical improvements are typically achieved without explicitly addressing full Sim-to-Real transfer challenges, certification constraints, or long-term operational robustness. Consequently, performance gains observed in simulation do not necessarily translate directly to real spacecraft deployment.</w:t>
      </w:r>
    </w:p>
    <w:p w14:paraId="7482F4E8" w14:textId="77777777" w:rsidR="00A11C15" w:rsidRDefault="00A11C15" w:rsidP="00A11C15">
      <w:pPr>
        <w:rPr>
          <w:rFonts w:cstheme="majorHAnsi"/>
        </w:rPr>
      </w:pPr>
      <w:r w:rsidRPr="00A11C15">
        <w:rPr>
          <w:rFonts w:cstheme="majorHAnsi"/>
        </w:rPr>
        <w:t>Rather than seeking incremental numerical improvements over existing controllers, the proposed framework focuses on preserving the performance demonstrated by nominal DRL approaches while enabling reliable transfer to real spacecraft systems. By explicitly structuring robustness enhancement, safety enforcement, and controlled adaptation within a unified Sim-to-Real architecture, the framework establishes the necessary conditions for future implementations to achieve comparable numerical performance under realistic operational constraints. As such, the values summarized in Table X provide a concrete numerical baseline against which future simulation-based or experimental realizations of the proposed framework can be rigorously evaluated.</w:t>
      </w:r>
    </w:p>
    <w:p w14:paraId="2E454EBC" w14:textId="58440595" w:rsidR="001A2E43" w:rsidRPr="00A11C15" w:rsidRDefault="00A11C15" w:rsidP="1D872806">
      <w:pPr>
        <w:rPr>
          <w:rFonts w:cstheme="majorBidi"/>
        </w:rPr>
      </w:pPr>
      <w:r>
        <w:br/>
      </w:r>
      <w:r w:rsidR="5084AECD" w:rsidRPr="1D872806">
        <w:rPr>
          <w:b/>
          <w:bCs/>
          <w:color w:val="4F81BD" w:themeColor="accent1"/>
          <w:sz w:val="28"/>
          <w:szCs w:val="28"/>
        </w:rPr>
        <w:t>8</w:t>
      </w:r>
      <w:r w:rsidR="008E3172" w:rsidRPr="1D872806">
        <w:rPr>
          <w:b/>
          <w:bCs/>
          <w:color w:val="4F81BD" w:themeColor="accent1"/>
          <w:sz w:val="28"/>
          <w:szCs w:val="28"/>
        </w:rPr>
        <w:t>. Certification and Autonomy Readiness</w:t>
      </w:r>
    </w:p>
    <w:p w14:paraId="587A6C6E" w14:textId="77777777" w:rsidR="009640D1" w:rsidRDefault="00377B45" w:rsidP="009640D1">
      <w:pPr>
        <w:rPr>
          <w:rtl/>
        </w:rPr>
      </w:pPr>
      <w:r>
        <w:lastRenderedPageBreak/>
        <w:t>Aerospace safety standards emphasize predictability, transparency, and fault containment for autonomous systems. The proposed framework aligns with these principles by incorporating safety filters, runtime monitoring, and structured decision layers. This design supports progression along Autonomy Readiness Levels from ground-tested autonomy toward fully autonomous mission execution.</w:t>
      </w:r>
    </w:p>
    <w:p w14:paraId="5952729B" w14:textId="6C87380C" w:rsidR="009640D1" w:rsidRDefault="34C7EE8C" w:rsidP="009640D1">
      <w:pPr>
        <w:rPr>
          <w:b/>
          <w:bCs/>
          <w:color w:val="4F81BD" w:themeColor="accent1"/>
          <w:sz w:val="28"/>
          <w:szCs w:val="28"/>
          <w:rtl/>
        </w:rPr>
      </w:pPr>
      <w:r w:rsidRPr="1D872806">
        <w:rPr>
          <w:b/>
          <w:bCs/>
          <w:color w:val="4F81BD" w:themeColor="accent1"/>
          <w:sz w:val="28"/>
          <w:szCs w:val="28"/>
        </w:rPr>
        <w:t>9</w:t>
      </w:r>
      <w:r w:rsidR="00377B45" w:rsidRPr="1D872806">
        <w:rPr>
          <w:b/>
          <w:bCs/>
          <w:color w:val="4F81BD" w:themeColor="accent1"/>
          <w:sz w:val="28"/>
          <w:szCs w:val="28"/>
        </w:rPr>
        <w:t>. Discussion</w:t>
      </w:r>
    </w:p>
    <w:p w14:paraId="5E94CF76" w14:textId="3D073A40" w:rsidR="006E76FF" w:rsidRPr="009640D1" w:rsidRDefault="006E76FF" w:rsidP="009640D1">
      <w:pPr>
        <w:rPr>
          <w:b/>
          <w:bCs/>
          <w:sz w:val="28"/>
          <w:szCs w:val="28"/>
        </w:rPr>
      </w:pPr>
      <w:r w:rsidRPr="006E76FF">
        <w:t>This work presents a purely theoretical contribution intended to guide future research and implementation. While no experimental validation is provided, the proposed framework defines essential architectural components required for reliable deployment of Deep Reinforcement Learning–based spacecraft control systems. The absence of quantitative evaluation means that performance gains and robust improvements are not explicitly measured at this stage. In addition, the framework assumes the availability of sufficiently high-fidelity simulation environments and representative uncertainty models, which may vary across spacecraft platforms and mission profiles. Future studies may progressively implement and assess individual modules through simulation-based benchmarking, hardware-in-the-loop testing, or mission-specific case studies, thereby refining the framework and advancing it toward operational validation</w:t>
      </w:r>
      <w:r>
        <w:t>.</w:t>
      </w:r>
    </w:p>
    <w:p w14:paraId="568855B8" w14:textId="7387B5B6" w:rsidR="001A2E43" w:rsidRPr="008E3172" w:rsidRDefault="3D071AD9" w:rsidP="1D872806">
      <w:pPr>
        <w:pStyle w:val="Heading1"/>
        <w:rPr>
          <w:rFonts w:asciiTheme="minorHAnsi" w:hAnsiTheme="minorHAnsi"/>
          <w:color w:val="548DD4" w:themeColor="text2" w:themeTint="99"/>
        </w:rPr>
      </w:pPr>
      <w:r w:rsidRPr="1D872806">
        <w:rPr>
          <w:rFonts w:asciiTheme="minorHAnsi" w:hAnsiTheme="minorHAnsi"/>
          <w:color w:val="548DD4" w:themeColor="text2" w:themeTint="99"/>
        </w:rPr>
        <w:t>10</w:t>
      </w:r>
      <w:r w:rsidR="00377B45" w:rsidRPr="1D872806">
        <w:rPr>
          <w:rFonts w:asciiTheme="minorHAnsi" w:hAnsiTheme="minorHAnsi"/>
          <w:color w:val="548DD4" w:themeColor="text2" w:themeTint="99"/>
        </w:rPr>
        <w:t>. Conclusion</w:t>
      </w:r>
    </w:p>
    <w:p w14:paraId="594B23B8" w14:textId="4FA84A46" w:rsidR="047B6E18" w:rsidRDefault="047B6E18" w:rsidP="1D872806">
      <w:pPr>
        <w:spacing w:before="240" w:after="240"/>
      </w:pPr>
      <w:r w:rsidRPr="1D872806">
        <w:rPr>
          <w:rFonts w:ascii="Cambria" w:eastAsia="Cambria" w:hAnsi="Cambria" w:cs="Cambria"/>
        </w:rPr>
        <w:t>This paper presented a structured theoretical Sim-to-Real transfer framework for Deep Reinforcement Learning–based spacecraft attitude control. Unlike prior works that focus primarily on algorithmic performance in simulation, the proposed architecture formalizes the control problem within a constrained closed-loop structure that integrates robustness enhancement, safety filtering, bounded adaptation, and runtime supervision.</w:t>
      </w:r>
    </w:p>
    <w:p w14:paraId="0084E7B9" w14:textId="27F30607" w:rsidR="047B6E18" w:rsidRDefault="047B6E18" w:rsidP="1D872806">
      <w:pPr>
        <w:spacing w:before="240" w:after="240"/>
      </w:pPr>
      <w:r w:rsidRPr="1D872806">
        <w:rPr>
          <w:rFonts w:ascii="Cambria" w:eastAsia="Cambria" w:hAnsi="Cambria" w:cs="Cambria"/>
        </w:rPr>
        <w:t>By explicitly defining the spacecraft nonlinear dynamics, reinforcement learning objective, admissible control set, safety projection operator, and bounded parameter update mechanism, the framework provides a system-level interpretation of learning-enabled spacecraft control as a constrained adaptive nonlinear control process. This formulation shifts the focus from isolated policy optimization toward certifiable architectural design.</w:t>
      </w:r>
    </w:p>
    <w:p w14:paraId="3909871E" w14:textId="0A8BD7C3" w:rsidR="047B6E18" w:rsidRDefault="047B6E18" w:rsidP="1D872806">
      <w:pPr>
        <w:spacing w:before="240" w:after="240"/>
      </w:pPr>
      <w:r w:rsidRPr="1D872806">
        <w:rPr>
          <w:rFonts w:ascii="Cambria" w:eastAsia="Cambria" w:hAnsi="Cambria" w:cs="Cambria"/>
        </w:rPr>
        <w:t>The inclusion of a Safety and Certification Envelope ensures that all executed control actions remain within predefined operational bounds, while the Transfer Adaptation Module enables gradual parameter refinement without violating certified constraints. Together, these mechanisms provide bounded-input bounded-state behavior under operational limits, thereby addressing a key barrier to real-world deployment of learning-based controllers in safety-critical space missions.</w:t>
      </w:r>
    </w:p>
    <w:p w14:paraId="6F5DBC21" w14:textId="630FE99B" w:rsidR="047B6E18" w:rsidRDefault="047B6E18" w:rsidP="1D872806">
      <w:pPr>
        <w:spacing w:before="240" w:after="240"/>
      </w:pPr>
      <w:r w:rsidRPr="1D872806">
        <w:rPr>
          <w:rFonts w:ascii="Cambria" w:eastAsia="Cambria" w:hAnsi="Cambria" w:cs="Cambria"/>
        </w:rPr>
        <w:t xml:space="preserve">Rather than claiming numerical superiority over existing methods, this work establishes a formal architectural foundation upon which future simulation-based, hardware-in-the-loop, and in-orbit validation studies may systematically build. The framework therefore contributes a new theoretical perspective to Sim-to-Real transfer in spacecraft control, aligning learning-based autonomy with </w:t>
      </w:r>
      <w:r w:rsidRPr="1D872806">
        <w:rPr>
          <w:rFonts w:ascii="Cambria" w:eastAsia="Cambria" w:hAnsi="Cambria" w:cs="Cambria"/>
        </w:rPr>
        <w:lastRenderedPageBreak/>
        <w:t>aerospace assurance principles and enabling a pathway toward certifiable, high-autonomy spacecraft systems.</w:t>
      </w:r>
    </w:p>
    <w:p w14:paraId="17DED50E" w14:textId="1EBA7712" w:rsidR="1D872806" w:rsidRDefault="1D872806"/>
    <w:p w14:paraId="1C976AB4" w14:textId="5B357B64" w:rsidR="002E4FA7" w:rsidRPr="008E3172" w:rsidRDefault="00A11C15" w:rsidP="00D9715E">
      <w:pPr>
        <w:rPr>
          <w:b/>
          <w:bCs/>
          <w:color w:val="4F81BD" w:themeColor="accent1"/>
          <w:sz w:val="28"/>
          <w:szCs w:val="28"/>
        </w:rPr>
      </w:pPr>
      <w:r w:rsidRPr="1D872806">
        <w:rPr>
          <w:b/>
          <w:bCs/>
          <w:color w:val="4F81BD" w:themeColor="accent1"/>
          <w:sz w:val="28"/>
          <w:szCs w:val="28"/>
        </w:rPr>
        <w:t>1</w:t>
      </w:r>
      <w:r w:rsidR="6CA152F6" w:rsidRPr="1D872806">
        <w:rPr>
          <w:b/>
          <w:bCs/>
          <w:color w:val="4F81BD" w:themeColor="accent1"/>
          <w:sz w:val="28"/>
          <w:szCs w:val="28"/>
        </w:rPr>
        <w:t>1</w:t>
      </w:r>
      <w:r w:rsidR="002E4FA7" w:rsidRPr="1D872806">
        <w:rPr>
          <w:b/>
          <w:bCs/>
          <w:color w:val="4F81BD" w:themeColor="accent1"/>
          <w:sz w:val="28"/>
          <w:szCs w:val="28"/>
        </w:rPr>
        <w:t>.</w:t>
      </w:r>
      <w:r w:rsidR="002E4FA7" w:rsidRPr="1D872806">
        <w:rPr>
          <w:rFonts w:eastAsia="Times New Roman" w:cs="Times New Roman"/>
          <w:b/>
          <w:bCs/>
          <w:color w:val="4F81BD" w:themeColor="accent1"/>
          <w:sz w:val="32"/>
          <w:szCs w:val="32"/>
        </w:rPr>
        <w:t xml:space="preserve"> </w:t>
      </w:r>
      <w:r w:rsidR="002E4FA7" w:rsidRPr="1D872806">
        <w:rPr>
          <w:b/>
          <w:bCs/>
          <w:color w:val="4F81BD" w:themeColor="accent1"/>
          <w:sz w:val="28"/>
          <w:szCs w:val="28"/>
        </w:rPr>
        <w:t>Future Work</w:t>
      </w:r>
    </w:p>
    <w:p w14:paraId="0B343692" w14:textId="2713E8CF" w:rsidR="002E4FA7" w:rsidRPr="002E4FA7" w:rsidRDefault="002E4FA7" w:rsidP="002E4FA7">
      <w:r w:rsidRPr="002E4FA7">
        <w:t>The present work focuses on establishing a theoretical and architectural foundation for Sim-to-Real transfer in Deep Reinforcement Learning–based spacecraft attitude control. While the proposed framework defines the key components required for robustness, safety, and autonomy readiness, several important research directions remain for future investigation.</w:t>
      </w:r>
    </w:p>
    <w:p w14:paraId="6D1E3FB3" w14:textId="40D75685" w:rsidR="002E4FA7" w:rsidRPr="002E4FA7" w:rsidRDefault="002E4FA7" w:rsidP="002E4FA7">
      <w:r w:rsidRPr="002E4FA7">
        <w:t>A primary avenue for future work is simulation-based implementation and validation of individual framework modules. Domain randomization strategies, safety-constrained action filtering, and runtime supervision mechanisms can be implemented within a high-fidelity spacecraft attitude simulation environment. Such studies would enable quantitative evaluation of robustness, convergence behavior, and control performance under varying levels of uncertainty, actuator degradation, and environmental disturbance.</w:t>
      </w:r>
    </w:p>
    <w:p w14:paraId="3C7EACDD" w14:textId="77777777" w:rsidR="002E4FA7" w:rsidRPr="002E4FA7" w:rsidRDefault="002E4FA7" w:rsidP="002E4FA7">
      <w:r w:rsidRPr="002E4FA7">
        <w:t>Future research should also focus on comparative evaluation against the practical baselines identified in this work. Classical model-based controllers, nominal DRL policies trained without Sim-to-Real augmentation, and hybrid control architectures provide natural reference points for assessing the effectiveness of the proposed framework. Metrics such as attitude error, settling time, control effort, and fault recovery performance can be used to quantify improvements and validate the framework’s design assumptions.</w:t>
      </w:r>
    </w:p>
    <w:p w14:paraId="62BA776B" w14:textId="77777777" w:rsidR="002E4FA7" w:rsidRPr="002E4FA7" w:rsidRDefault="002E4FA7" w:rsidP="002E4FA7">
      <w:r w:rsidRPr="002E4FA7">
        <w:t>Another important direction involves extending the framework toward multi-subsystem autonomy. While this work concentrates on attitude control, future studies may investigate coordinated control of guidance, navigation, and fault management subsystems within a unified learning-enabled architecture. Such extensions are essential for advancing toward higher autonomy readiness levels and reducing reliance on ground-based intervention.</w:t>
      </w:r>
    </w:p>
    <w:p w14:paraId="26843B9C" w14:textId="5FA9904F" w:rsidR="002E4FA7" w:rsidRPr="002E4FA7" w:rsidRDefault="002E4FA7" w:rsidP="002E4FA7">
      <w:r w:rsidRPr="002E4FA7">
        <w:t>Finally, future work should address certification-oriented validation and trustworthy AI considerations through simulation-based stress testing and formal verification techniques. Integrating explainability tools, runtime monitoring, and confidence-based decision gating into learning-enabled control systems will be critical for alignment with emerging aerospace safety standards and regulatory frameworks. These efforts will support the eventual transition from theoretical architecture to deployable, mission-ready autonomous spacecraft systems.</w:t>
      </w:r>
    </w:p>
    <w:p w14:paraId="586B0479" w14:textId="49896147" w:rsidR="002E4FA7" w:rsidRPr="008F56AB" w:rsidRDefault="008F56AB" w:rsidP="00833B51">
      <w:pPr>
        <w:rPr>
          <w:b/>
          <w:bCs/>
        </w:rPr>
      </w:pPr>
      <w:r w:rsidRPr="008F56AB">
        <w:rPr>
          <w:b/>
          <w:bCs/>
        </w:rPr>
        <w:t xml:space="preserve">Conflict of interest </w:t>
      </w:r>
    </w:p>
    <w:p w14:paraId="56A6D0FD" w14:textId="79F8CA78" w:rsidR="008F56AB" w:rsidRDefault="008F56AB" w:rsidP="008F56AB">
      <w:r w:rsidRPr="008F56AB">
        <w:t>On behalf of all authors, the corresponding author states that there is no conflict of interest.</w:t>
      </w:r>
    </w:p>
    <w:p w14:paraId="6CD8EB28" w14:textId="60D04385" w:rsidR="00833B51" w:rsidRPr="008E3172" w:rsidRDefault="002E4FA7" w:rsidP="00833B51">
      <w:pPr>
        <w:rPr>
          <w:b/>
          <w:bCs/>
          <w:color w:val="4F81BD" w:themeColor="accent1"/>
          <w:sz w:val="28"/>
          <w:szCs w:val="28"/>
        </w:rPr>
      </w:pPr>
      <w:r w:rsidRPr="1D872806">
        <w:rPr>
          <w:b/>
          <w:bCs/>
          <w:color w:val="4F81BD" w:themeColor="accent1"/>
          <w:sz w:val="28"/>
          <w:szCs w:val="28"/>
        </w:rPr>
        <w:t>1</w:t>
      </w:r>
      <w:r w:rsidR="268B4CA9" w:rsidRPr="1D872806">
        <w:rPr>
          <w:b/>
          <w:bCs/>
          <w:color w:val="4F81BD" w:themeColor="accent1"/>
          <w:sz w:val="28"/>
          <w:szCs w:val="28"/>
        </w:rPr>
        <w:t>2</w:t>
      </w:r>
      <w:r w:rsidR="00833B51" w:rsidRPr="1D872806">
        <w:rPr>
          <w:b/>
          <w:bCs/>
          <w:color w:val="4F81BD" w:themeColor="accent1"/>
          <w:sz w:val="28"/>
          <w:szCs w:val="28"/>
        </w:rPr>
        <w:t>.</w:t>
      </w:r>
      <w:r w:rsidR="00833B51" w:rsidRPr="1D872806">
        <w:rPr>
          <w:rFonts w:eastAsia="Times New Roman" w:cs="Times New Roman"/>
          <w:b/>
          <w:bCs/>
          <w:color w:val="4F81BD" w:themeColor="accent1"/>
          <w:sz w:val="32"/>
          <w:szCs w:val="32"/>
        </w:rPr>
        <w:t xml:space="preserve"> </w:t>
      </w:r>
      <w:r w:rsidR="00833B51" w:rsidRPr="1D872806">
        <w:rPr>
          <w:b/>
          <w:bCs/>
          <w:color w:val="4F81BD" w:themeColor="accent1"/>
          <w:sz w:val="28"/>
          <w:szCs w:val="28"/>
        </w:rPr>
        <w:t>References</w:t>
      </w:r>
    </w:p>
    <w:p w14:paraId="2658118E" w14:textId="3F608121" w:rsidR="00B906E3" w:rsidRDefault="00B906E3" w:rsidP="00B906E3">
      <w:r>
        <w:lastRenderedPageBreak/>
        <w:t>[1] Elkins, M., Enders, J., and Woolsey, C., “Reinforcement Learning-Based Spacecraft Attitude Control with Application to Autonomous Maneuvering,” Proceedings of the International Astronautical Congress (IAC), 2020.</w:t>
      </w:r>
    </w:p>
    <w:p w14:paraId="5504A9D0" w14:textId="40885B45" w:rsidR="00B906E3" w:rsidRDefault="00B906E3" w:rsidP="00B906E3">
      <w:r>
        <w:t xml:space="preserve">[2] Enders, J., “Deep Reinforcement Learning for Spacecraft Attitude Control with Uncertain Dynamics,” </w:t>
      </w:r>
      <w:r w:rsidR="009640D1">
        <w:t>master’s</w:t>
      </w:r>
      <w:r>
        <w:t xml:space="preserve"> Thesis, Air Force Institute of Technology, 2021.</w:t>
      </w:r>
    </w:p>
    <w:p w14:paraId="4D9E880F" w14:textId="745E860C" w:rsidR="00B906E3" w:rsidRDefault="00B906E3" w:rsidP="00B906E3">
      <w:r>
        <w:t>[3] Mahfouz, A., Kamel, M., and Aly, H., “Deep Reinforcement Learning for Attitude Control of Flexible Spacecraft,” Aerospace Science and Technology, Vol. 123, 2022.</w:t>
      </w:r>
    </w:p>
    <w:p w14:paraId="244141FE" w14:textId="4836AB82" w:rsidR="00B906E3" w:rsidRDefault="00B906E3" w:rsidP="00B906E3">
      <w:r>
        <w:t xml:space="preserve">[4] Tobin, J., Fong, R., Ray, A., Schneider, J., Zaremba, W., and </w:t>
      </w:r>
      <w:proofErr w:type="spellStart"/>
      <w:r>
        <w:t>Abbeel</w:t>
      </w:r>
      <w:proofErr w:type="spellEnd"/>
      <w:r>
        <w:t>, P., “Domain Randomization for Transferring Deep Neural Networks from Simulation to the Real World,” Proceedings of the IEEE/RSJ International Conference on Intelligent Robots and Systems (IROS), 2017.</w:t>
      </w:r>
    </w:p>
    <w:p w14:paraId="2B57B9CF" w14:textId="7B7EBD72" w:rsidR="00B906E3" w:rsidRDefault="00B906E3" w:rsidP="00B906E3">
      <w:r>
        <w:t>[5] García, J., and Fernández, F., “A Comprehensive Survey on Safe Reinforcement Learning,” Journal of Machine Learning Research, Vol. 16, 2015, pp. 1437–1480.</w:t>
      </w:r>
    </w:p>
    <w:p w14:paraId="4C0CBDA7" w14:textId="30AD1801" w:rsidR="00B906E3" w:rsidRDefault="00B906E3" w:rsidP="00B906E3">
      <w:r>
        <w:t xml:space="preserve">[6] Ray, A., Achiam, J., and Amodei, D., “Benchmarking Safe Exploration in Deep Reinforcement Learning,” </w:t>
      </w:r>
      <w:proofErr w:type="spellStart"/>
      <w:r>
        <w:t>arXiv</w:t>
      </w:r>
      <w:proofErr w:type="spellEnd"/>
      <w:r>
        <w:t xml:space="preserve"> preprint arXiv:1910.01708, 2019.</w:t>
      </w:r>
    </w:p>
    <w:p w14:paraId="3A91B088" w14:textId="5F43374B" w:rsidR="00B906E3" w:rsidRDefault="00B906E3" w:rsidP="00B906E3">
      <w:r>
        <w:t>[7] Wang, Y., Sun, J., He, H., and Sun, C., “Deterministic Policy Gradient with Target Exploration for Continuous Control,” IEEE Transactions on Neural Networks and Learning Systems, Vol. 30, No. 4, 2019, pp. 1170–1180.</w:t>
      </w:r>
    </w:p>
    <w:p w14:paraId="41D04F74" w14:textId="48758384" w:rsidR="00B906E3" w:rsidRDefault="00B906E3" w:rsidP="00B906E3">
      <w:r>
        <w:t>[8] El-</w:t>
      </w:r>
      <w:proofErr w:type="spellStart"/>
      <w:r>
        <w:t>Dalahmeh</w:t>
      </w:r>
      <w:proofErr w:type="spellEnd"/>
      <w:r>
        <w:t>, Y., Al-</w:t>
      </w:r>
      <w:proofErr w:type="spellStart"/>
      <w:r>
        <w:t>Zu’bi</w:t>
      </w:r>
      <w:proofErr w:type="spellEnd"/>
      <w:r>
        <w:t xml:space="preserve">, A., and Al-Dabbas, M., “Fault-Tolerant Spacecraft Attitude Control Using Deep Reinforcement Learning,” Acta </w:t>
      </w:r>
      <w:proofErr w:type="spellStart"/>
      <w:r>
        <w:t>Astronautica</w:t>
      </w:r>
      <w:proofErr w:type="spellEnd"/>
      <w:r>
        <w:t>, Vol. 213, 2025.</w:t>
      </w:r>
    </w:p>
    <w:p w14:paraId="59863F38" w14:textId="7AF29CC7" w:rsidR="00B906E3" w:rsidRDefault="00B906E3" w:rsidP="00B906E3">
      <w:r>
        <w:t xml:space="preserve">[9] </w:t>
      </w:r>
      <w:proofErr w:type="spellStart"/>
      <w:r>
        <w:t>Oghim</w:t>
      </w:r>
      <w:proofErr w:type="spellEnd"/>
      <w:r>
        <w:t>, E., Perez-Muñoz, M., and Campoy, P., “Hybrid Deep Reinforcement Learning and Classical Control for Spacecraft Attitude Maneuvering Using Control Moment Gyros,” Aerospace, Vol. 12, No. 4, 2025.</w:t>
      </w:r>
    </w:p>
    <w:p w14:paraId="040EB58A" w14:textId="45D441F1" w:rsidR="00B906E3" w:rsidRDefault="00B906E3" w:rsidP="00B906E3">
      <w:r>
        <w:t>[10] Pérez-Muñoz, M., Campoy, P., and Ollero, A., “Real-Time Deep Reinforcement Learning for Onboard Spacecraft Attitude Control,” Aerospace Science and Technology, Vol. 147, 2025.</w:t>
      </w:r>
    </w:p>
    <w:p w14:paraId="0053524C" w14:textId="398510E2" w:rsidR="00B906E3" w:rsidRDefault="00B906E3" w:rsidP="00B906E3">
      <w:r>
        <w:t xml:space="preserve">[11] OpenAI, </w:t>
      </w:r>
      <w:proofErr w:type="spellStart"/>
      <w:r>
        <w:t>Andrychowicz</w:t>
      </w:r>
      <w:proofErr w:type="spellEnd"/>
      <w:r>
        <w:t xml:space="preserve">, M., Baker, B., </w:t>
      </w:r>
      <w:proofErr w:type="spellStart"/>
      <w:r>
        <w:t>Chociej</w:t>
      </w:r>
      <w:proofErr w:type="spellEnd"/>
      <w:r>
        <w:t xml:space="preserve">, M., Jozefowicz, R., McGrew, B., </w:t>
      </w:r>
      <w:proofErr w:type="spellStart"/>
      <w:r>
        <w:t>Pachocki</w:t>
      </w:r>
      <w:proofErr w:type="spellEnd"/>
      <w:r>
        <w:t>, J., Petron, A., Plappert, M., Powell, G., et al., “Learning Dexterous In-Hand Manipulation,” International Journal of Robotics Research, Vol. 39, No. 1, 2020, pp. 3–20.</w:t>
      </w:r>
    </w:p>
    <w:p w14:paraId="78C85F51" w14:textId="44ACF022" w:rsidR="00B906E3" w:rsidRDefault="00B906E3" w:rsidP="00B906E3">
      <w:r>
        <w:t>[12] European Cooperation for Space Standardization (ECSS), “Space Product Assurance – Artificial Intelligence,” ECSS-Q-80, ESA-ESTEC, 2021.</w:t>
      </w:r>
    </w:p>
    <w:p w14:paraId="5440B8F3" w14:textId="306242E4" w:rsidR="00B906E3" w:rsidRDefault="00B906E3" w:rsidP="00B906E3">
      <w:r>
        <w:t>[13] National Aeronautics and Space Administration (NASA), “NASA System Safety Handbook,” NASA-SP-2010-580, NASA Headquarters, Washington, DC, 2010</w:t>
      </w:r>
    </w:p>
    <w:p w14:paraId="7503857F" w14:textId="52042AE0" w:rsidR="00833B51" w:rsidRDefault="00B906E3" w:rsidP="00B906E3">
      <w:r>
        <w:t>[14] National Institute of Standards and Technology (NIST), “Artificial Intelligence Risk Management Framework,” NIST SP 800-1011, 2023.</w:t>
      </w:r>
    </w:p>
    <w:p w14:paraId="49A153BA" w14:textId="77777777" w:rsidR="00D9715E" w:rsidRPr="00D9715E" w:rsidRDefault="00D9715E" w:rsidP="00D9715E">
      <w:r w:rsidRPr="00D9715E">
        <w:lastRenderedPageBreak/>
        <w:t xml:space="preserve">[15] Zhao, W., </w:t>
      </w:r>
      <w:proofErr w:type="spellStart"/>
      <w:r w:rsidRPr="00D9715E">
        <w:t>Queralta</w:t>
      </w:r>
      <w:proofErr w:type="spellEnd"/>
      <w:r w:rsidRPr="00D9715E">
        <w:t xml:space="preserve">, J. P., and Westerlund, T., “Sim-to-Real Transfer in Deep Reinforcement Learning for Robotics: A Survey,” </w:t>
      </w:r>
      <w:r w:rsidRPr="00D9715E">
        <w:rPr>
          <w:i/>
          <w:iCs/>
        </w:rPr>
        <w:t>Proceedings of the IEEE International Conference on Automation Science and Engineering (CASE)</w:t>
      </w:r>
      <w:r w:rsidRPr="00D9715E">
        <w:t>, 2020.</w:t>
      </w:r>
    </w:p>
    <w:p w14:paraId="4D15EF3F" w14:textId="77777777" w:rsidR="00D9715E" w:rsidRPr="00D9715E" w:rsidRDefault="00D9715E" w:rsidP="00D9715E">
      <w:r w:rsidRPr="00D9715E">
        <w:t xml:space="preserve">[16] </w:t>
      </w:r>
      <w:proofErr w:type="spellStart"/>
      <w:r w:rsidRPr="00D9715E">
        <w:t>Alshiekh</w:t>
      </w:r>
      <w:proofErr w:type="spellEnd"/>
      <w:r w:rsidRPr="00D9715E">
        <w:t xml:space="preserve">, M., Bloem, R., Ehlers, R., </w:t>
      </w:r>
      <w:proofErr w:type="spellStart"/>
      <w:r w:rsidRPr="00D9715E">
        <w:t>Könighofer</w:t>
      </w:r>
      <w:proofErr w:type="spellEnd"/>
      <w:r w:rsidRPr="00D9715E">
        <w:t xml:space="preserve">, B., </w:t>
      </w:r>
      <w:proofErr w:type="spellStart"/>
      <w:r w:rsidRPr="00D9715E">
        <w:t>Niekum</w:t>
      </w:r>
      <w:proofErr w:type="spellEnd"/>
      <w:r w:rsidRPr="00D9715E">
        <w:t xml:space="preserve">, S., and </w:t>
      </w:r>
      <w:proofErr w:type="spellStart"/>
      <w:r w:rsidRPr="00D9715E">
        <w:t>Topcu</w:t>
      </w:r>
      <w:proofErr w:type="spellEnd"/>
      <w:r w:rsidRPr="00D9715E">
        <w:t xml:space="preserve">, U., “Safe Reinforcement Learning via Shielding,” </w:t>
      </w:r>
      <w:r w:rsidRPr="00D9715E">
        <w:rPr>
          <w:i/>
          <w:iCs/>
        </w:rPr>
        <w:t>Proceedings of the AAAI Conference on Artificial Intelligence</w:t>
      </w:r>
      <w:r w:rsidRPr="00D9715E">
        <w:t>, 2018.</w:t>
      </w:r>
    </w:p>
    <w:p w14:paraId="5D881435" w14:textId="77777777" w:rsidR="00D9715E" w:rsidRPr="00D9715E" w:rsidRDefault="00D9715E" w:rsidP="00D9715E">
      <w:r w:rsidRPr="00D9715E">
        <w:t>[17] Katz, G., Barrett, C., Dill, D. L., Julian, K., and Kochenderfer, M. J., “</w:t>
      </w:r>
      <w:proofErr w:type="spellStart"/>
      <w:r w:rsidRPr="00D9715E">
        <w:t>Reluplex</w:t>
      </w:r>
      <w:proofErr w:type="spellEnd"/>
      <w:r w:rsidRPr="00D9715E">
        <w:t xml:space="preserve">: An Efficient SMT Solver for Verifying Deep Neural Networks,” </w:t>
      </w:r>
      <w:r w:rsidRPr="00D9715E">
        <w:rPr>
          <w:i/>
          <w:iCs/>
        </w:rPr>
        <w:t>Proceedings of the International Conference on Computer Aided Verification (CAV)</w:t>
      </w:r>
      <w:r w:rsidRPr="00D9715E">
        <w:t>, 2017.</w:t>
      </w:r>
    </w:p>
    <w:p w14:paraId="487C2AAB" w14:textId="77777777" w:rsidR="00D9715E" w:rsidRPr="00D9715E" w:rsidRDefault="00D9715E" w:rsidP="00D9715E">
      <w:r w:rsidRPr="00D9715E">
        <w:t xml:space="preserve">[18] Peng, X. B., </w:t>
      </w:r>
      <w:proofErr w:type="spellStart"/>
      <w:r w:rsidRPr="00D9715E">
        <w:t>Andrychowicz</w:t>
      </w:r>
      <w:proofErr w:type="spellEnd"/>
      <w:r w:rsidRPr="00D9715E">
        <w:t xml:space="preserve">, M., Zaremba, W., and </w:t>
      </w:r>
      <w:proofErr w:type="spellStart"/>
      <w:r w:rsidRPr="00D9715E">
        <w:t>Abbeel</w:t>
      </w:r>
      <w:proofErr w:type="spellEnd"/>
      <w:r w:rsidRPr="00D9715E">
        <w:t xml:space="preserve">, P., “Sim-to-Real Transfer of Robotic Control with Dynamics Randomization,” </w:t>
      </w:r>
      <w:r w:rsidRPr="00D9715E">
        <w:rPr>
          <w:i/>
          <w:iCs/>
        </w:rPr>
        <w:t>Proceedings of the IEEE International Conference on Robotics and Automation (ICRA)</w:t>
      </w:r>
      <w:r w:rsidRPr="00D9715E">
        <w:t>, 2018.</w:t>
      </w:r>
    </w:p>
    <w:p w14:paraId="6DC1F6F3" w14:textId="77777777" w:rsidR="00D9715E" w:rsidRDefault="00D9715E" w:rsidP="00B906E3"/>
    <w:sectPr w:rsidR="00D9715E" w:rsidSect="00F753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0964FA"/>
    <w:multiLevelType w:val="hybridMultilevel"/>
    <w:tmpl w:val="94A858E8"/>
    <w:lvl w:ilvl="0" w:tplc="2014E064">
      <w:start w:val="1"/>
      <w:numFmt w:val="decimal"/>
      <w:lvlText w:val="%1."/>
      <w:lvlJc w:val="left"/>
      <w:pPr>
        <w:ind w:left="720" w:hanging="360"/>
      </w:pPr>
    </w:lvl>
    <w:lvl w:ilvl="1" w:tplc="E08A98B8">
      <w:start w:val="1"/>
      <w:numFmt w:val="lowerLetter"/>
      <w:lvlText w:val="%2."/>
      <w:lvlJc w:val="left"/>
      <w:pPr>
        <w:ind w:left="1440" w:hanging="360"/>
      </w:pPr>
    </w:lvl>
    <w:lvl w:ilvl="2" w:tplc="4AB227C8">
      <w:start w:val="1"/>
      <w:numFmt w:val="lowerRoman"/>
      <w:lvlText w:val="%3."/>
      <w:lvlJc w:val="right"/>
      <w:pPr>
        <w:ind w:left="2160" w:hanging="180"/>
      </w:pPr>
    </w:lvl>
    <w:lvl w:ilvl="3" w:tplc="927E90DE">
      <w:start w:val="1"/>
      <w:numFmt w:val="decimal"/>
      <w:lvlText w:val="%4."/>
      <w:lvlJc w:val="left"/>
      <w:pPr>
        <w:ind w:left="2880" w:hanging="360"/>
      </w:pPr>
    </w:lvl>
    <w:lvl w:ilvl="4" w:tplc="3910A0C2">
      <w:start w:val="1"/>
      <w:numFmt w:val="lowerLetter"/>
      <w:lvlText w:val="%5."/>
      <w:lvlJc w:val="left"/>
      <w:pPr>
        <w:ind w:left="3600" w:hanging="360"/>
      </w:pPr>
    </w:lvl>
    <w:lvl w:ilvl="5" w:tplc="B6462374">
      <w:start w:val="1"/>
      <w:numFmt w:val="lowerRoman"/>
      <w:lvlText w:val="%6."/>
      <w:lvlJc w:val="right"/>
      <w:pPr>
        <w:ind w:left="4320" w:hanging="180"/>
      </w:pPr>
    </w:lvl>
    <w:lvl w:ilvl="6" w:tplc="88827286">
      <w:start w:val="1"/>
      <w:numFmt w:val="decimal"/>
      <w:lvlText w:val="%7."/>
      <w:lvlJc w:val="left"/>
      <w:pPr>
        <w:ind w:left="5040" w:hanging="360"/>
      </w:pPr>
    </w:lvl>
    <w:lvl w:ilvl="7" w:tplc="F2F68F44">
      <w:start w:val="1"/>
      <w:numFmt w:val="lowerLetter"/>
      <w:lvlText w:val="%8."/>
      <w:lvlJc w:val="left"/>
      <w:pPr>
        <w:ind w:left="5760" w:hanging="360"/>
      </w:pPr>
    </w:lvl>
    <w:lvl w:ilvl="8" w:tplc="8A9E5B18">
      <w:start w:val="1"/>
      <w:numFmt w:val="lowerRoman"/>
      <w:lvlText w:val="%9."/>
      <w:lvlJc w:val="right"/>
      <w:pPr>
        <w:ind w:left="6480" w:hanging="180"/>
      </w:pPr>
    </w:lvl>
  </w:abstractNum>
  <w:abstractNum w:abstractNumId="10" w15:restartNumberingAfterBreak="0">
    <w:nsid w:val="1ACB078C"/>
    <w:multiLevelType w:val="multilevel"/>
    <w:tmpl w:val="477E0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EE1DD5"/>
    <w:multiLevelType w:val="hybridMultilevel"/>
    <w:tmpl w:val="928EBED8"/>
    <w:lvl w:ilvl="0" w:tplc="EEB65756">
      <w:start w:val="1"/>
      <w:numFmt w:val="bullet"/>
      <w:lvlText w:val=""/>
      <w:lvlJc w:val="left"/>
      <w:pPr>
        <w:ind w:left="720" w:hanging="360"/>
      </w:pPr>
      <w:rPr>
        <w:rFonts w:ascii="Symbol" w:hAnsi="Symbol" w:hint="default"/>
      </w:rPr>
    </w:lvl>
    <w:lvl w:ilvl="1" w:tplc="E3CA8168">
      <w:start w:val="1"/>
      <w:numFmt w:val="bullet"/>
      <w:lvlText w:val="o"/>
      <w:lvlJc w:val="left"/>
      <w:pPr>
        <w:ind w:left="1440" w:hanging="360"/>
      </w:pPr>
      <w:rPr>
        <w:rFonts w:ascii="Courier New" w:hAnsi="Courier New" w:hint="default"/>
      </w:rPr>
    </w:lvl>
    <w:lvl w:ilvl="2" w:tplc="16726962">
      <w:start w:val="1"/>
      <w:numFmt w:val="bullet"/>
      <w:lvlText w:val=""/>
      <w:lvlJc w:val="left"/>
      <w:pPr>
        <w:ind w:left="2160" w:hanging="360"/>
      </w:pPr>
      <w:rPr>
        <w:rFonts w:ascii="Wingdings" w:hAnsi="Wingdings" w:hint="default"/>
      </w:rPr>
    </w:lvl>
    <w:lvl w:ilvl="3" w:tplc="5A4EC766">
      <w:start w:val="1"/>
      <w:numFmt w:val="bullet"/>
      <w:lvlText w:val=""/>
      <w:lvlJc w:val="left"/>
      <w:pPr>
        <w:ind w:left="2880" w:hanging="360"/>
      </w:pPr>
      <w:rPr>
        <w:rFonts w:ascii="Symbol" w:hAnsi="Symbol" w:hint="default"/>
      </w:rPr>
    </w:lvl>
    <w:lvl w:ilvl="4" w:tplc="47FAAD96">
      <w:start w:val="1"/>
      <w:numFmt w:val="bullet"/>
      <w:lvlText w:val="o"/>
      <w:lvlJc w:val="left"/>
      <w:pPr>
        <w:ind w:left="3600" w:hanging="360"/>
      </w:pPr>
      <w:rPr>
        <w:rFonts w:ascii="Courier New" w:hAnsi="Courier New" w:hint="default"/>
      </w:rPr>
    </w:lvl>
    <w:lvl w:ilvl="5" w:tplc="E990CCC8">
      <w:start w:val="1"/>
      <w:numFmt w:val="bullet"/>
      <w:lvlText w:val=""/>
      <w:lvlJc w:val="left"/>
      <w:pPr>
        <w:ind w:left="4320" w:hanging="360"/>
      </w:pPr>
      <w:rPr>
        <w:rFonts w:ascii="Wingdings" w:hAnsi="Wingdings" w:hint="default"/>
      </w:rPr>
    </w:lvl>
    <w:lvl w:ilvl="6" w:tplc="A1E8A9CE">
      <w:start w:val="1"/>
      <w:numFmt w:val="bullet"/>
      <w:lvlText w:val=""/>
      <w:lvlJc w:val="left"/>
      <w:pPr>
        <w:ind w:left="5040" w:hanging="360"/>
      </w:pPr>
      <w:rPr>
        <w:rFonts w:ascii="Symbol" w:hAnsi="Symbol" w:hint="default"/>
      </w:rPr>
    </w:lvl>
    <w:lvl w:ilvl="7" w:tplc="ED102DAE">
      <w:start w:val="1"/>
      <w:numFmt w:val="bullet"/>
      <w:lvlText w:val="o"/>
      <w:lvlJc w:val="left"/>
      <w:pPr>
        <w:ind w:left="5760" w:hanging="360"/>
      </w:pPr>
      <w:rPr>
        <w:rFonts w:ascii="Courier New" w:hAnsi="Courier New" w:hint="default"/>
      </w:rPr>
    </w:lvl>
    <w:lvl w:ilvl="8" w:tplc="E5C0A29E">
      <w:start w:val="1"/>
      <w:numFmt w:val="bullet"/>
      <w:lvlText w:val=""/>
      <w:lvlJc w:val="left"/>
      <w:pPr>
        <w:ind w:left="6480" w:hanging="360"/>
      </w:pPr>
      <w:rPr>
        <w:rFonts w:ascii="Wingdings" w:hAnsi="Wingdings" w:hint="default"/>
      </w:rPr>
    </w:lvl>
  </w:abstractNum>
  <w:abstractNum w:abstractNumId="12" w15:restartNumberingAfterBreak="0">
    <w:nsid w:val="2A6C2305"/>
    <w:multiLevelType w:val="hybridMultilevel"/>
    <w:tmpl w:val="97820530"/>
    <w:lvl w:ilvl="0" w:tplc="48F442D2">
      <w:start w:val="1"/>
      <w:numFmt w:val="bullet"/>
      <w:lvlText w:val=""/>
      <w:lvlJc w:val="left"/>
      <w:pPr>
        <w:ind w:left="720" w:hanging="360"/>
      </w:pPr>
      <w:rPr>
        <w:rFonts w:ascii="Symbol" w:hAnsi="Symbol" w:hint="default"/>
      </w:rPr>
    </w:lvl>
    <w:lvl w:ilvl="1" w:tplc="F76C946C">
      <w:start w:val="1"/>
      <w:numFmt w:val="bullet"/>
      <w:lvlText w:val="o"/>
      <w:lvlJc w:val="left"/>
      <w:pPr>
        <w:ind w:left="1440" w:hanging="360"/>
      </w:pPr>
      <w:rPr>
        <w:rFonts w:ascii="Courier New" w:hAnsi="Courier New" w:hint="default"/>
      </w:rPr>
    </w:lvl>
    <w:lvl w:ilvl="2" w:tplc="69381E56">
      <w:start w:val="1"/>
      <w:numFmt w:val="bullet"/>
      <w:lvlText w:val=""/>
      <w:lvlJc w:val="left"/>
      <w:pPr>
        <w:ind w:left="2160" w:hanging="360"/>
      </w:pPr>
      <w:rPr>
        <w:rFonts w:ascii="Wingdings" w:hAnsi="Wingdings" w:hint="default"/>
      </w:rPr>
    </w:lvl>
    <w:lvl w:ilvl="3" w:tplc="26D0758A">
      <w:start w:val="1"/>
      <w:numFmt w:val="bullet"/>
      <w:lvlText w:val=""/>
      <w:lvlJc w:val="left"/>
      <w:pPr>
        <w:ind w:left="2880" w:hanging="360"/>
      </w:pPr>
      <w:rPr>
        <w:rFonts w:ascii="Symbol" w:hAnsi="Symbol" w:hint="default"/>
      </w:rPr>
    </w:lvl>
    <w:lvl w:ilvl="4" w:tplc="9064DFA0">
      <w:start w:val="1"/>
      <w:numFmt w:val="bullet"/>
      <w:lvlText w:val="o"/>
      <w:lvlJc w:val="left"/>
      <w:pPr>
        <w:ind w:left="3600" w:hanging="360"/>
      </w:pPr>
      <w:rPr>
        <w:rFonts w:ascii="Courier New" w:hAnsi="Courier New" w:hint="default"/>
      </w:rPr>
    </w:lvl>
    <w:lvl w:ilvl="5" w:tplc="89028DA2">
      <w:start w:val="1"/>
      <w:numFmt w:val="bullet"/>
      <w:lvlText w:val=""/>
      <w:lvlJc w:val="left"/>
      <w:pPr>
        <w:ind w:left="4320" w:hanging="360"/>
      </w:pPr>
      <w:rPr>
        <w:rFonts w:ascii="Wingdings" w:hAnsi="Wingdings" w:hint="default"/>
      </w:rPr>
    </w:lvl>
    <w:lvl w:ilvl="6" w:tplc="1E9CB592">
      <w:start w:val="1"/>
      <w:numFmt w:val="bullet"/>
      <w:lvlText w:val=""/>
      <w:lvlJc w:val="left"/>
      <w:pPr>
        <w:ind w:left="5040" w:hanging="360"/>
      </w:pPr>
      <w:rPr>
        <w:rFonts w:ascii="Symbol" w:hAnsi="Symbol" w:hint="default"/>
      </w:rPr>
    </w:lvl>
    <w:lvl w:ilvl="7" w:tplc="13BEAC12">
      <w:start w:val="1"/>
      <w:numFmt w:val="bullet"/>
      <w:lvlText w:val="o"/>
      <w:lvlJc w:val="left"/>
      <w:pPr>
        <w:ind w:left="5760" w:hanging="360"/>
      </w:pPr>
      <w:rPr>
        <w:rFonts w:ascii="Courier New" w:hAnsi="Courier New" w:hint="default"/>
      </w:rPr>
    </w:lvl>
    <w:lvl w:ilvl="8" w:tplc="BB02C624">
      <w:start w:val="1"/>
      <w:numFmt w:val="bullet"/>
      <w:lvlText w:val=""/>
      <w:lvlJc w:val="left"/>
      <w:pPr>
        <w:ind w:left="6480" w:hanging="360"/>
      </w:pPr>
      <w:rPr>
        <w:rFonts w:ascii="Wingdings" w:hAnsi="Wingdings" w:hint="default"/>
      </w:rPr>
    </w:lvl>
  </w:abstractNum>
  <w:abstractNum w:abstractNumId="13" w15:restartNumberingAfterBreak="0">
    <w:nsid w:val="4B3616B4"/>
    <w:multiLevelType w:val="hybridMultilevel"/>
    <w:tmpl w:val="50540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133906">
    <w:abstractNumId w:val="11"/>
  </w:num>
  <w:num w:numId="2" w16cid:durableId="353657261">
    <w:abstractNumId w:val="9"/>
  </w:num>
  <w:num w:numId="3" w16cid:durableId="1266116990">
    <w:abstractNumId w:val="12"/>
  </w:num>
  <w:num w:numId="4" w16cid:durableId="180705925">
    <w:abstractNumId w:val="8"/>
  </w:num>
  <w:num w:numId="5" w16cid:durableId="1546722826">
    <w:abstractNumId w:val="6"/>
  </w:num>
  <w:num w:numId="6" w16cid:durableId="389153951">
    <w:abstractNumId w:val="5"/>
  </w:num>
  <w:num w:numId="7" w16cid:durableId="214851407">
    <w:abstractNumId w:val="4"/>
  </w:num>
  <w:num w:numId="8" w16cid:durableId="1022435453">
    <w:abstractNumId w:val="7"/>
  </w:num>
  <w:num w:numId="9" w16cid:durableId="1642348620">
    <w:abstractNumId w:val="3"/>
  </w:num>
  <w:num w:numId="10" w16cid:durableId="1001617768">
    <w:abstractNumId w:val="2"/>
  </w:num>
  <w:num w:numId="11" w16cid:durableId="138307666">
    <w:abstractNumId w:val="1"/>
  </w:num>
  <w:num w:numId="12" w16cid:durableId="207843289">
    <w:abstractNumId w:val="0"/>
  </w:num>
  <w:num w:numId="13" w16cid:durableId="470176728">
    <w:abstractNumId w:val="10"/>
  </w:num>
  <w:num w:numId="14" w16cid:durableId="8159924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9C3"/>
    <w:rsid w:val="00034616"/>
    <w:rsid w:val="0006063C"/>
    <w:rsid w:val="000C0D07"/>
    <w:rsid w:val="0015074B"/>
    <w:rsid w:val="001909B4"/>
    <w:rsid w:val="001A2E43"/>
    <w:rsid w:val="00264C02"/>
    <w:rsid w:val="0029286A"/>
    <w:rsid w:val="0029639D"/>
    <w:rsid w:val="002E4FA7"/>
    <w:rsid w:val="002F7C19"/>
    <w:rsid w:val="00302AB3"/>
    <w:rsid w:val="00326F90"/>
    <w:rsid w:val="003743D3"/>
    <w:rsid w:val="00377B45"/>
    <w:rsid w:val="00383F56"/>
    <w:rsid w:val="00412BE4"/>
    <w:rsid w:val="00417E47"/>
    <w:rsid w:val="00510AE5"/>
    <w:rsid w:val="00540758"/>
    <w:rsid w:val="005621EC"/>
    <w:rsid w:val="00573AF3"/>
    <w:rsid w:val="005C1A4E"/>
    <w:rsid w:val="00602275"/>
    <w:rsid w:val="00650116"/>
    <w:rsid w:val="00690827"/>
    <w:rsid w:val="006E1C7B"/>
    <w:rsid w:val="006E76FF"/>
    <w:rsid w:val="007074F8"/>
    <w:rsid w:val="00727364"/>
    <w:rsid w:val="0076031E"/>
    <w:rsid w:val="00811A41"/>
    <w:rsid w:val="00833B51"/>
    <w:rsid w:val="008E3172"/>
    <w:rsid w:val="008F56AB"/>
    <w:rsid w:val="00911305"/>
    <w:rsid w:val="009640D1"/>
    <w:rsid w:val="009854EC"/>
    <w:rsid w:val="00A11C15"/>
    <w:rsid w:val="00A464E8"/>
    <w:rsid w:val="00AA1D8D"/>
    <w:rsid w:val="00B47730"/>
    <w:rsid w:val="00B906E3"/>
    <w:rsid w:val="00BC4A3E"/>
    <w:rsid w:val="00BC74DC"/>
    <w:rsid w:val="00BF30EB"/>
    <w:rsid w:val="00C94F5F"/>
    <w:rsid w:val="00CB0664"/>
    <w:rsid w:val="00D2490B"/>
    <w:rsid w:val="00D652A5"/>
    <w:rsid w:val="00D9715E"/>
    <w:rsid w:val="00DA6260"/>
    <w:rsid w:val="00E73DC0"/>
    <w:rsid w:val="00E745C5"/>
    <w:rsid w:val="00E824A8"/>
    <w:rsid w:val="00EF0A15"/>
    <w:rsid w:val="00F753A3"/>
    <w:rsid w:val="00FA7D4A"/>
    <w:rsid w:val="00FB74F6"/>
    <w:rsid w:val="00FC693F"/>
    <w:rsid w:val="00FE2E70"/>
    <w:rsid w:val="0174A0E7"/>
    <w:rsid w:val="01AF649E"/>
    <w:rsid w:val="034267DE"/>
    <w:rsid w:val="0370F5C4"/>
    <w:rsid w:val="03B46833"/>
    <w:rsid w:val="0414592B"/>
    <w:rsid w:val="047B6E18"/>
    <w:rsid w:val="0553238A"/>
    <w:rsid w:val="071832CF"/>
    <w:rsid w:val="071E9FE1"/>
    <w:rsid w:val="0A61BF54"/>
    <w:rsid w:val="0B28A2A0"/>
    <w:rsid w:val="0BA12A17"/>
    <w:rsid w:val="0D660267"/>
    <w:rsid w:val="0D9B9A38"/>
    <w:rsid w:val="0F6A8372"/>
    <w:rsid w:val="12EAE54D"/>
    <w:rsid w:val="12FCF8C9"/>
    <w:rsid w:val="148D4E22"/>
    <w:rsid w:val="14BB2B31"/>
    <w:rsid w:val="174E768B"/>
    <w:rsid w:val="17DB2420"/>
    <w:rsid w:val="17F81A1C"/>
    <w:rsid w:val="1AD423D0"/>
    <w:rsid w:val="1BE746B3"/>
    <w:rsid w:val="1D872806"/>
    <w:rsid w:val="20F25C7F"/>
    <w:rsid w:val="23BB4B7E"/>
    <w:rsid w:val="24401D2E"/>
    <w:rsid w:val="2491925C"/>
    <w:rsid w:val="24FAB52B"/>
    <w:rsid w:val="268B4CA9"/>
    <w:rsid w:val="28D7D91D"/>
    <w:rsid w:val="29211801"/>
    <w:rsid w:val="2A63B41C"/>
    <w:rsid w:val="2A86386C"/>
    <w:rsid w:val="2BED6D7E"/>
    <w:rsid w:val="2CEF4C70"/>
    <w:rsid w:val="2DE88171"/>
    <w:rsid w:val="2E37B8F4"/>
    <w:rsid w:val="2F48B5BA"/>
    <w:rsid w:val="2FC11E97"/>
    <w:rsid w:val="30D28849"/>
    <w:rsid w:val="315CDA73"/>
    <w:rsid w:val="335300C1"/>
    <w:rsid w:val="34338116"/>
    <w:rsid w:val="34C7EE8C"/>
    <w:rsid w:val="36666630"/>
    <w:rsid w:val="37ABE7EC"/>
    <w:rsid w:val="392038C8"/>
    <w:rsid w:val="3A191FFB"/>
    <w:rsid w:val="3BBF0D71"/>
    <w:rsid w:val="3D071AD9"/>
    <w:rsid w:val="3D83056B"/>
    <w:rsid w:val="3E0C3731"/>
    <w:rsid w:val="41A4ACC7"/>
    <w:rsid w:val="41F7F91B"/>
    <w:rsid w:val="429BC136"/>
    <w:rsid w:val="4318CD56"/>
    <w:rsid w:val="43B4567F"/>
    <w:rsid w:val="45248211"/>
    <w:rsid w:val="45363082"/>
    <w:rsid w:val="4583D908"/>
    <w:rsid w:val="47524975"/>
    <w:rsid w:val="47591AFE"/>
    <w:rsid w:val="47A1B0EB"/>
    <w:rsid w:val="48C932E9"/>
    <w:rsid w:val="4918697A"/>
    <w:rsid w:val="4C5D278F"/>
    <w:rsid w:val="4E1F7E71"/>
    <w:rsid w:val="5084AECD"/>
    <w:rsid w:val="519BC7FE"/>
    <w:rsid w:val="57231074"/>
    <w:rsid w:val="5A267B4F"/>
    <w:rsid w:val="5A944C1F"/>
    <w:rsid w:val="5B59B1C8"/>
    <w:rsid w:val="5C71D188"/>
    <w:rsid w:val="5E427295"/>
    <w:rsid w:val="5EEAB776"/>
    <w:rsid w:val="60311603"/>
    <w:rsid w:val="61BFA6F0"/>
    <w:rsid w:val="62445C1C"/>
    <w:rsid w:val="64287E07"/>
    <w:rsid w:val="668FA10E"/>
    <w:rsid w:val="672420B4"/>
    <w:rsid w:val="6986BD74"/>
    <w:rsid w:val="6A0671EE"/>
    <w:rsid w:val="6CA152F6"/>
    <w:rsid w:val="6DEA0E81"/>
    <w:rsid w:val="6EBB7C57"/>
    <w:rsid w:val="6F57D4D0"/>
    <w:rsid w:val="734884FF"/>
    <w:rsid w:val="73FC9CAA"/>
    <w:rsid w:val="76899A7F"/>
    <w:rsid w:val="768D0C45"/>
    <w:rsid w:val="76B034D6"/>
    <w:rsid w:val="776DF431"/>
    <w:rsid w:val="7983501E"/>
    <w:rsid w:val="7B1243A4"/>
    <w:rsid w:val="7B58900C"/>
    <w:rsid w:val="7C4E26D1"/>
    <w:rsid w:val="7CD2A6B5"/>
    <w:rsid w:val="7E390603"/>
    <w:rsid w:val="7E566057"/>
    <w:rsid w:val="7E614083"/>
    <w:rsid w:val="7FB00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D366BD"/>
  <w14:defaultImageDpi w14:val="300"/>
  <w15:docId w15:val="{9BB32274-5E65-41D0-A85F-2E249CDA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3A3"/>
    <w:pPr>
      <w:jc w:val="both"/>
    </w:p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33B5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2c678181-129c-4a12-875d-66edd7256c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96E3C90A2E654087DEC1E5DF43DB44" ma:contentTypeVersion="11" ma:contentTypeDescription="Create a new document." ma:contentTypeScope="" ma:versionID="6d86713f562666ef59230c9f0383556e">
  <xsd:schema xmlns:xsd="http://www.w3.org/2001/XMLSchema" xmlns:xs="http://www.w3.org/2001/XMLSchema" xmlns:p="http://schemas.microsoft.com/office/2006/metadata/properties" xmlns:ns3="2c678181-129c-4a12-875d-66edd7256c3a" targetNamespace="http://schemas.microsoft.com/office/2006/metadata/properties" ma:root="true" ma:fieldsID="8d438742836b153c3fda2792db3250bb" ns3:_="">
    <xsd:import namespace="2c678181-129c-4a12-875d-66edd7256c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78181-129c-4a12-875d-66edd7256c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8D5334A-FD7D-48AF-8B43-3F4652F04B42}">
  <ds:schemaRefs>
    <ds:schemaRef ds:uri="http://schemas.microsoft.com/office/2006/metadata/properties"/>
    <ds:schemaRef ds:uri="http://schemas.microsoft.com/office/infopath/2007/PartnerControls"/>
    <ds:schemaRef ds:uri="2c678181-129c-4a12-875d-66edd7256c3a"/>
  </ds:schemaRefs>
</ds:datastoreItem>
</file>

<file path=customXml/itemProps3.xml><?xml version="1.0" encoding="utf-8"?>
<ds:datastoreItem xmlns:ds="http://schemas.openxmlformats.org/officeDocument/2006/customXml" ds:itemID="{230C9790-2A9F-4B99-BE68-155601FF110B}">
  <ds:schemaRefs>
    <ds:schemaRef ds:uri="http://schemas.microsoft.com/sharepoint/v3/contenttype/forms"/>
  </ds:schemaRefs>
</ds:datastoreItem>
</file>

<file path=customXml/itemProps4.xml><?xml version="1.0" encoding="utf-8"?>
<ds:datastoreItem xmlns:ds="http://schemas.openxmlformats.org/officeDocument/2006/customXml" ds:itemID="{6EECE98C-4968-4D5F-8F54-4ECFCD081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78181-129c-4a12-875d-66edd7256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10320</Words>
  <Characters>58825</Characters>
  <Application>Microsoft Office Word</Application>
  <DocSecurity>0</DocSecurity>
  <Lines>490</Lines>
  <Paragraphs>138</Paragraphs>
  <ScaleCrop>false</ScaleCrop>
  <Manager/>
  <Company/>
  <LinksUpToDate>false</LinksUpToDate>
  <CharactersWithSpaces>69007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m.elfarran</cp:lastModifiedBy>
  <cp:revision>15</cp:revision>
  <cp:lastPrinted>2026-02-21T10:12:00Z</cp:lastPrinted>
  <dcterms:created xsi:type="dcterms:W3CDTF">2025-12-20T12:58:00Z</dcterms:created>
  <dcterms:modified xsi:type="dcterms:W3CDTF">2026-02-21T10:55:00Z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0x010100E396E3C90A2E654087DEC1E5DF43DB44</vt:lpwstr>
  </property>
</Properties>
</file>