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BCC6B7" w14:textId="0BBF559A" w:rsidR="006862E0" w:rsidRDefault="00000000">
      <w:pPr>
        <w:spacing w:after="240" w:line="480" w:lineRule="auto"/>
      </w:pPr>
      <w:r>
        <w:rPr>
          <w:b/>
          <w:bCs/>
        </w:rPr>
        <w:t>Artificial Intelligence</w:t>
      </w:r>
      <w:r w:rsidR="009B2F9D">
        <w:rPr>
          <w:b/>
          <w:bCs/>
        </w:rPr>
        <w:t xml:space="preserve"> (AI)</w:t>
      </w:r>
      <w:r>
        <w:rPr>
          <w:b/>
          <w:bCs/>
        </w:rPr>
        <w:t xml:space="preserve"> on Construction Projects: Regulatory Position and Governance Gaps</w:t>
      </w:r>
    </w:p>
    <w:p w14:paraId="3D202DBA" w14:textId="77777777" w:rsidR="006862E0" w:rsidRDefault="00000000">
      <w:pPr>
        <w:spacing w:after="240" w:line="480" w:lineRule="auto"/>
      </w:pPr>
      <w:r>
        <w:t>Reihaneh Samsami, Ph.D., P.E., M.ASCE</w:t>
      </w:r>
      <w:r>
        <w:rPr>
          <w:vertAlign w:val="superscript"/>
        </w:rPr>
        <w:t>1</w:t>
      </w:r>
    </w:p>
    <w:p w14:paraId="16870AD8" w14:textId="77777777" w:rsidR="006862E0" w:rsidRDefault="00000000">
      <w:pPr>
        <w:spacing w:after="240" w:line="480" w:lineRule="auto"/>
      </w:pPr>
      <w:r>
        <w:rPr>
          <w:sz w:val="22"/>
          <w:szCs w:val="22"/>
          <w:vertAlign w:val="superscript"/>
        </w:rPr>
        <w:t>1</w:t>
      </w:r>
      <w:r>
        <w:rPr>
          <w:sz w:val="22"/>
          <w:szCs w:val="22"/>
        </w:rPr>
        <w:t>Assistant Professor, Dept. of Civil and Environmental Engineering, Univ. of New Haven, 300 Boston Post Rd., West Haven, CT 06516 (corresponding author). Email: rsamsami@newhaven.edu</w:t>
      </w:r>
    </w:p>
    <w:p w14:paraId="55B7C4E1" w14:textId="77777777" w:rsidR="006862E0" w:rsidRDefault="00000000">
      <w:pPr>
        <w:spacing w:before="240" w:line="480" w:lineRule="auto"/>
      </w:pPr>
      <w:r>
        <w:rPr>
          <w:b/>
          <w:bCs/>
        </w:rPr>
        <w:t>Abstract</w:t>
      </w:r>
    </w:p>
    <w:p w14:paraId="0608BF5D" w14:textId="5C0A0571" w:rsidR="006862E0" w:rsidRDefault="00000000">
      <w:pPr>
        <w:spacing w:line="480" w:lineRule="auto"/>
      </w:pPr>
      <w:r>
        <w:t>Construction organizations are adopting Artificial Intelligence (AI) software faster than governance practice has developed to control its use, and the products now reaching the sector differ in kind from the prediction models preceding them. Large Language Models (LLMs) return the most probable continuation of a text rather than the result of a lookup, and they fail fluently and confidently, in ways difficult to detect on the face of the output. Deployed as multiple interacting agents, they also fail at the hand-off, where no single owner observes the error. This paper establishes where the law binds such deployments. Under Regulation (EU) 2024/1689 as amended by the 2026 Digital Omnibus, three features decide the question: Annex III point 2 is a closed list that does not reach structures, so software assessing the condition of public infrastructure falls outside the high-risk tier; Annex III point 4(b) with Article 6(3) captures any function building individual behavioral profiles and forecloses the available exemptions; and Article 5(1)(f) prohibits inference of emotion in the workplace outright. United States</w:t>
      </w:r>
      <w:r w:rsidR="009A64B3">
        <w:t xml:space="preserve"> (U.S.)</w:t>
      </w:r>
      <w:r>
        <w:t xml:space="preserve"> instruments differ in kind rather than degree: the National Bridge Inspection Standards</w:t>
      </w:r>
      <w:r w:rsidR="009A64B3">
        <w:t xml:space="preserve"> (NBIS)</w:t>
      </w:r>
      <w:r>
        <w:t>, the model law of the National Council of Examiners for Engineering and Surveying and Policy Statement 573 of the American Society of Civil Engineers</w:t>
      </w:r>
      <w:r w:rsidR="007177AE">
        <w:t xml:space="preserve"> (ASCE)</w:t>
      </w:r>
      <w:r>
        <w:t xml:space="preserve"> constrain the software only through what a qualified person must personally do. Both traditions </w:t>
      </w:r>
      <w:r>
        <w:lastRenderedPageBreak/>
        <w:t>converge on human oversight as the principal control, and four decades of automation bias research show the control failing wherever it is specified without being sized. Applied to a five-agent platform procured under one commercial decision, the analysis yields five distinct regulatory positions, from a prohibited practice question to a function no reviewed instrument covers. The unit of governance is therefore the function, not the product.</w:t>
      </w:r>
    </w:p>
    <w:p w14:paraId="18A1FB2D" w14:textId="1A14BE64" w:rsidR="006862E0" w:rsidRDefault="00000000">
      <w:pPr>
        <w:spacing w:after="120" w:line="480" w:lineRule="auto"/>
      </w:pPr>
      <w:r>
        <w:rPr>
          <w:b/>
          <w:bCs/>
        </w:rPr>
        <w:t xml:space="preserve">Keywords: </w:t>
      </w:r>
      <w:r>
        <w:t xml:space="preserve">Artificial </w:t>
      </w:r>
      <w:r w:rsidR="007177AE">
        <w:t>I</w:t>
      </w:r>
      <w:r>
        <w:t>ntelligence</w:t>
      </w:r>
      <w:r w:rsidR="007177AE">
        <w:t xml:space="preserve"> (AI)</w:t>
      </w:r>
      <w:r>
        <w:t>; Construction automation; Risk management; Regulatory compliance; Governance; Human oversight; Bridge inspection.</w:t>
      </w:r>
    </w:p>
    <w:p w14:paraId="192D9D28" w14:textId="77777777" w:rsidR="006862E0" w:rsidRDefault="00000000">
      <w:pPr>
        <w:spacing w:before="240" w:line="480" w:lineRule="auto"/>
      </w:pPr>
      <w:r>
        <w:rPr>
          <w:b/>
          <w:bCs/>
        </w:rPr>
        <w:t>Practical Applications</w:t>
      </w:r>
    </w:p>
    <w:p w14:paraId="05F2B6AA" w14:textId="435ACFC7" w:rsidR="006862E0" w:rsidRDefault="00000000">
      <w:pPr>
        <w:spacing w:line="480" w:lineRule="auto"/>
      </w:pPr>
      <w:r>
        <w:t xml:space="preserve">A contractor buying an integrated artificial intelligence </w:t>
      </w:r>
      <w:r w:rsidR="007177AE">
        <w:t xml:space="preserve">(AI) </w:t>
      </w:r>
      <w:r>
        <w:t xml:space="preserve">platform is not buying one regulated object. A single procurement can produce five different legal positions at once, and classifying the platform once will classify most of it incorrectly. Practitioners can use the analysis directly. The agent rating the condition of a bridge sits outside the European high-risk tier, because the critical infrastructure list does not reach structures and does not extend to inspection. The agent allocating crews or scoring subcontractor performance is high risk with no exemption available, because it profiles individuals. Any module inferring worker fatigue or emotion raises a prohibition already in force. In the </w:t>
      </w:r>
      <w:r w:rsidR="007177AE">
        <w:t>U.S.</w:t>
      </w:r>
      <w:r>
        <w:t xml:space="preserve"> nothing regulates the software itself, but the requirement for a qualified team leader to be present and actively participating, together with the doctrine of responsible charge, constrains what the software may decide. Both systems then rely on a person to review the output, and that reliance is misplaced unless review capacity is stated as a number against the volume of output it must cover. The recommendation is to classify per function, record each classification with a date and an owner, and size the oversight rather than assert it.</w:t>
      </w:r>
    </w:p>
    <w:p w14:paraId="4B5654E6" w14:textId="77777777" w:rsidR="006862E0" w:rsidRDefault="00000000">
      <w:pPr>
        <w:spacing w:before="240" w:line="480" w:lineRule="auto"/>
      </w:pPr>
      <w:r>
        <w:rPr>
          <w:b/>
          <w:bCs/>
        </w:rPr>
        <w:t>Introduction</w:t>
      </w:r>
    </w:p>
    <w:p w14:paraId="4A03DDC9" w14:textId="77777777" w:rsidR="006862E0" w:rsidRDefault="00000000">
      <w:pPr>
        <w:spacing w:line="480" w:lineRule="auto"/>
      </w:pPr>
      <w:r>
        <w:lastRenderedPageBreak/>
        <w:t>Artificial Intelligence (AI) has entered construction project delivery rapidly. Reviews of the field record its spread across estimating, scheduling, safety management and asset condition assessment (Darko et al. 2020; Pan and Zhang 2021; Abioye et al. 2021; Regona et al. 2022), and the adoption evidence is clear. The 2026 Construction Hiring and Business Outlook (AGC and Sage 2026), based on 951 responses from 49 states and the District of Columbia, reports 61 percent of construction industry firms using such software or increasing investment in it, up from 44 percent in the preceding year, with 45 percent applying it to office and administrative work, 23 percent to estimating and 20 percent to design and preconstruction.</w:t>
      </w:r>
    </w:p>
    <w:p w14:paraId="116046E2" w14:textId="77777777" w:rsidR="006862E0" w:rsidRDefault="00000000">
      <w:pPr>
        <w:spacing w:line="480" w:lineRule="auto"/>
      </w:pPr>
      <w:r>
        <w:t>The type of use is also changing. Earlier construction applications were prediction models providing a single result for a user to consider, typically a classification of an image or a point estimate of a cost or duration (Akinosho et al. 2020; Xu et al. 2021). The products marketed to contractors since 2025 are instead assembled from Large Language Models (LLMs), and early sectoral evaluations of these in scheduling, information retrieval and general project tasks report useful performance alongside substantial and unpredictable error (Prieto et al. 2023; Zheng and Fischer 2023; Ghimire et al. 2024; Saka et al. 2024).</w:t>
      </w:r>
    </w:p>
    <w:p w14:paraId="358BFDEE" w14:textId="77777777" w:rsidR="006862E0" w:rsidRDefault="00000000">
      <w:pPr>
        <w:spacing w:line="480" w:lineRule="auto"/>
      </w:pPr>
      <w:r>
        <w:t xml:space="preserve">Professional practice has begun to move ahead of the research literature. A global standard on the responsible use of AI in surveying practice became mandatory for members and regulated firms of the Royal Institution of Chartered Surveyors (RICS) on 9 March 2026. This standard requires AI risk registers (RICS 2025a), while the European Construction Industry Federation has argued against new layers of liability where existing law is enforced, provided the AI use is documented, auditable and traceable by human experts (FIEC 2025). Neither document specifies what such a register should contain, and neither establishes which legal obligations attach to which construction functions. The same survey evidence indicates why the question matters: of </w:t>
      </w:r>
      <w:r>
        <w:lastRenderedPageBreak/>
        <w:t>more than 2,200 built environment professionals surveyed worldwide, fewer than 1 percent reported fully embedded organization-wide use and 45 percent reported no use at all, yet regulatory and legal uncertainty ranked lowest among perceived barriers, at 11 percent (RICS 2025b).</w:t>
      </w:r>
    </w:p>
    <w:p w14:paraId="56996548" w14:textId="589CB9A1" w:rsidR="006862E0" w:rsidRDefault="00000000">
      <w:pPr>
        <w:spacing w:line="480" w:lineRule="auto"/>
      </w:pPr>
      <w:r>
        <w:t xml:space="preserve">That ranking is the problem this paper addresses. Uncertainty about the legal position is not low; it is unexamined. No published work establishes, function by function, where the binding instruments actually reach a construction AI deployment and where they do not. The objectives are therefore threefold. The first: to describe how this class of software fails, in terms that a construction professional can act on. The second: to establish the regulatory position of construction AI under both European and </w:t>
      </w:r>
      <w:r w:rsidR="009A64B3">
        <w:t>U.S.</w:t>
      </w:r>
      <w:r>
        <w:t xml:space="preserve"> instruments, and to identify the control on which both converge. The third: to demonstrate, through a five-agent delivery platform, that regulatory position varies by function rather than by product, and to draw the consequences for practice.</w:t>
      </w:r>
    </w:p>
    <w:p w14:paraId="55CF627B" w14:textId="77777777" w:rsidR="006862E0" w:rsidRDefault="00000000">
      <w:pPr>
        <w:spacing w:line="480" w:lineRule="auto"/>
      </w:pPr>
      <w:r>
        <w:t>One boundary requires early statement, because the terminology invites confusion. A substantial body of research applies AI to the performance of construction management, including machine learning for cost overrun prediction and LLMs for risk identification from contract documents (Martin et al. 2025; Tian et al. 2025). The present paper proceeds in the opposite direction, examining the governance of AI rather than its application. The two share vocabulary only and very little else.</w:t>
      </w:r>
    </w:p>
    <w:p w14:paraId="1001F508" w14:textId="77777777" w:rsidR="006862E0" w:rsidRDefault="00000000">
      <w:pPr>
        <w:spacing w:before="240" w:line="480" w:lineRule="auto"/>
      </w:pPr>
      <w:r>
        <w:rPr>
          <w:b/>
          <w:bCs/>
        </w:rPr>
        <w:t>How the Technology Fails</w:t>
      </w:r>
    </w:p>
    <w:p w14:paraId="36220069" w14:textId="77777777" w:rsidR="006862E0" w:rsidRDefault="00000000">
      <w:pPr>
        <w:spacing w:before="240" w:line="480" w:lineRule="auto"/>
      </w:pPr>
      <w:r>
        <w:rPr>
          <w:b/>
          <w:bCs/>
          <w:i/>
          <w:iCs/>
        </w:rPr>
        <w:t>Language models</w:t>
      </w:r>
    </w:p>
    <w:p w14:paraId="51768114" w14:textId="77777777" w:rsidR="006862E0" w:rsidRDefault="00000000">
      <w:pPr>
        <w:spacing w:line="480" w:lineRule="auto"/>
      </w:pPr>
      <w:r>
        <w:t xml:space="preserve">A Large Language Model (LLM) is a statistical function fitted to a very large body of text which, given a passage of text, returns the continuation it estimates to be most probable. It holds no database and performs no lookup, and what it appears to know is a property of the fitted </w:t>
      </w:r>
      <w:r>
        <w:lastRenderedPageBreak/>
        <w:t>function, in much the same way that a probability distribution fitted to historical cost records appears to describe cost without containing any of those records (Back et al. 2000). The engineering consequence is direct. A model may return a fluent and confident statement about a code provision without any provision having been consulted, and nothing on the face of the output separates such an answer from a correct one. The term adopted for such an output in the governance literature is confabulation, the term preferred by the National Institute of Standards and Technology (NIST 2024), and the same behavior is termed hallucination in the technical literature, where it has been surveyed comprehensively (Ji et al. 2023; Huang et al. 2025), measured on citation tasks (Walters and Wilder 2023) and shown to be partially detectable through the uncertainty of the model itself (Manakul et al. 2023; Farquhar et al. 2024). A philosophical account describes the behavior as indifference to truth rather than error, because the fitted function optimizes for plausibility rather than for correspondence with any source (Hicks et al. 2024).</w:t>
      </w:r>
    </w:p>
    <w:p w14:paraId="4A42BA4D" w14:textId="77777777" w:rsidR="006862E0" w:rsidRDefault="00000000">
      <w:pPr>
        <w:spacing w:line="480" w:lineRule="auto"/>
      </w:pPr>
      <w:r>
        <w:t>The behavior matters most precisely where construction wants to use it, namely in reasoning over regulatory and contractual text. Profiling of general-purpose models on direct, verifiable questions about randomly selected federal court cases found hallucination rates between 58 and 88 percent (Dahl et al. 2024). Commercial retrieval-based legal research tools built expressly to suppress the problem were still found to hallucinate on between 17 and 33 percent of queries (Magesh et al. 2025). Even elementary statutory reasoning is performed unreliably (Blair-Stanek et al. 2023; Blair-Stanek et al. 2024). A construction organization deploying such software against specifications, contracts or safety standards is operating in the task class where the failure rate is highest and the appearance of correctness is strongest.</w:t>
      </w:r>
    </w:p>
    <w:p w14:paraId="7CF1F43C" w14:textId="77777777" w:rsidR="006862E0" w:rsidRDefault="00000000">
      <w:pPr>
        <w:spacing w:line="480" w:lineRule="auto"/>
      </w:pPr>
      <w:r>
        <w:lastRenderedPageBreak/>
        <w:t>Grounding, implemented as Retrieval-Augmented Generation (RAG), is the standard mitigation. The governing text is supplied to the model at the moment of the query, so the answer is formed against the retrieved document rather than against the fitted function alone (Karpukhin et al. 2020; Lewis et al. 2020). Retrieval has been shown to reduce hallucination substantially in conversational settings (Shuster et al. 2021) and is now routine in applied deployments (Lewis et al. 2020). It is properly understood as a control rather than as a property of the software, and it is an imperfect one: systematic study of deployed retrieval pipelines identifies seven distinct failure points at which the control can break down (Barnett et al. 2024), and benchmarking shows models remaining vulnerable to noisy or counterfactual retrieved passages (Chen et al. 2024). The commercial legal tools cited above hallucinated at material rates despite being built on retrieval.</w:t>
      </w:r>
    </w:p>
    <w:p w14:paraId="6933A0F3" w14:textId="77777777" w:rsidR="006862E0" w:rsidRDefault="00000000">
      <w:pPr>
        <w:spacing w:before="240" w:line="480" w:lineRule="auto"/>
      </w:pPr>
      <w:r>
        <w:rPr>
          <w:b/>
          <w:bCs/>
          <w:i/>
          <w:iCs/>
        </w:rPr>
        <w:t>Agents and the hand-off between them</w:t>
      </w:r>
    </w:p>
    <w:p w14:paraId="7CB26D8E" w14:textId="77777777" w:rsidR="006862E0" w:rsidRDefault="00000000">
      <w:pPr>
        <w:spacing w:line="480" w:lineRule="auto"/>
      </w:pPr>
      <w:r>
        <w:t>An agent is a larger arrangement built around such a model, in which the model is given a task, a set of documents or systems it may consult, and a set of actions it may take, with reasoning and action interleaved so the result of one action informs the next (Yao et al. 2023). Frameworks for assembling several such agents into a single application are now widely used (Wu et al. 2024; Hong et al. 2024; Qian et al. 2024), and surveys of the resulting systems document both their capabilities and their characteristic failures (Guo et al. 2024; Wang et al. 2024; Xi et al. 2025). Where an agent is permitted to write a record into a project document management system or an asset register, the arrangement is no longer advisory. What matters for governance is therefore not whether the software is intelligent but what it is permitted to read and what it is permitted to write, since the second determines what an error can reach.</w:t>
      </w:r>
    </w:p>
    <w:p w14:paraId="6421D446" w14:textId="77777777" w:rsidR="006862E0" w:rsidRDefault="00000000">
      <w:pPr>
        <w:spacing w:line="480" w:lineRule="auto"/>
      </w:pPr>
      <w:r>
        <w:lastRenderedPageBreak/>
        <w:t>Deploying several agents together introduces a failure class that no single agent exhibits. Systems in which multiple LLM-based agents exchange outputs have been shown to fail through specification violation, inter-agent misalignment and unverified task termination, and empirical work finds a substantial share of observed failures arising not within any single agent but at the point of hand-off (Cemri et al. 2025). A construction organization buying an integrated delivery platform is therefore acquiring not one uncertain system but a set of such systems, together with the interfaces between them. Each agent may have a competent owner while no owner is positioned to observe an error upstream being consumed downstream as settled fact.</w:t>
      </w:r>
    </w:p>
    <w:p w14:paraId="00D96CA8" w14:textId="77777777" w:rsidR="006862E0" w:rsidRDefault="00000000">
      <w:pPr>
        <w:spacing w:before="240" w:line="480" w:lineRule="auto"/>
      </w:pPr>
      <w:r>
        <w:rPr>
          <w:b/>
          <w:bCs/>
        </w:rPr>
        <w:t>Governance Frameworks and What They Leave Open</w:t>
      </w:r>
    </w:p>
    <w:p w14:paraId="302A19BC" w14:textId="77777777" w:rsidR="006862E0" w:rsidRDefault="00000000">
      <w:pPr>
        <w:spacing w:line="480" w:lineRule="auto"/>
      </w:pPr>
      <w:r>
        <w:t>The NIST AI Risk Management Framework (AI RMF) arranges the governance of such software into four functions, namely GOVERN, MAP, MEASURE and MANAGE, comprising 19 categories and 72 subcategories, and defines seven characteristics of trustworthy AI (Tabassi 2023). Five subcategories bear on software reasoning over regulatory documents. MEASURE 2.3 and MEASURE 2.5 require performance to be demonstrated for conditions similar to the deployment setting and the limits of generalizability to be documented, which is consistent with the wider finding of a gap between aggregate benchmark performance and specific deployment conditions (Liang et al. 2023). MAP 3.4 and MAP 3.5 address the proficiency of the people operating the software and the design of the oversight arrangements around it. MEASURE 2.9 requires the model to be explained, validated and documented, and its output to be interpreted within its context. The Generative Artificial Intelligence Profile names confabulation and human-AI configuration among its twelve risk categories (NIST 2024).</w:t>
      </w:r>
    </w:p>
    <w:p w14:paraId="5A2A1DAF" w14:textId="77777777" w:rsidR="006862E0" w:rsidRDefault="00000000">
      <w:pPr>
        <w:spacing w:line="480" w:lineRule="auto"/>
      </w:pPr>
      <w:r>
        <w:t xml:space="preserve">The international standards occupy the same ground. ISO/IEC 42001:2023 specifies a management system for AI (ISO/IEC 2023b), ISO/IEC 23894:2023 provides guidance on AI risk </w:t>
      </w:r>
      <w:r>
        <w:lastRenderedPageBreak/>
        <w:t>management aligned to ISO 31000 (ISO/IEC 2023a), and ISO/IEC 42005:2025 specifies the conduct of an AI system impact assessment (ISO/IEC 2025). Where a deployment is exposed to adversarial input, the NIST taxonomy of attacks and mitigations applies in addition (Vassilev et al. 2025).</w:t>
      </w:r>
    </w:p>
    <w:p w14:paraId="1CC1A67E" w14:textId="77777777" w:rsidR="006862E0" w:rsidRDefault="00000000">
      <w:pPr>
        <w:spacing w:line="480" w:lineRule="auto"/>
      </w:pPr>
      <w:r>
        <w:t>What none of these instruments supplies is the arithmetic. The NIST framework states explicitly that it does not set risk tolerance, and none of the three ISO standards sizes a contingency, allocates ownership of a specific risk to a named individual, or converts an identified hazard into money. They describe what good governance looks like without describing how an organization decides how much of it to buy. The construction literature has the mirror-image gap. Work on responsible and trustworthy AI in the architecture, engineering and construction (AEC) sector has established the dimensions of concern, including explainability, liability, ethical governance and human factors, and has defined the territory at the level of principle (Emaminejad and Akhavian 2022; Liang et al. 2024; Plevris and Hosamo 2025; Naghdi et al. 2026; Byrd and Geheran 2026; Badhan and Samsami 2026). The current literature does not specify risk processes, allocation of ownership, scoring of consequence or sizing of financial provision. The risk taxonomies developed outside the sector are long lists of possible harm which likewise stop short of becoming registers (Slattery et al. 2026).</w:t>
      </w:r>
    </w:p>
    <w:p w14:paraId="4C1CFEBF" w14:textId="77777777" w:rsidR="006862E0" w:rsidRDefault="00000000">
      <w:pPr>
        <w:spacing w:line="480" w:lineRule="auto"/>
      </w:pPr>
      <w:r>
        <w:t>A third gap sits underneath both. Regulatory classification is generally performed at the level of the product, whereas the obligations of Regulation (EU) 2024/1689 attach to the intended purpose of a function, a distinction developed in the legal literature (Veale and Zuiderveen Borgesius 2021; Schuett 2024; Novelli et al. 2024a) but not yet applied to a construction deployment. The remainder of this paper closes that gap.</w:t>
      </w:r>
    </w:p>
    <w:p w14:paraId="0F65D076" w14:textId="77777777" w:rsidR="006862E0" w:rsidRDefault="00000000">
      <w:pPr>
        <w:spacing w:before="240" w:line="480" w:lineRule="auto"/>
      </w:pPr>
      <w:r>
        <w:rPr>
          <w:b/>
          <w:bCs/>
        </w:rPr>
        <w:t>The Regulatory Position of Construction AI</w:t>
      </w:r>
    </w:p>
    <w:p w14:paraId="4FFB07FF" w14:textId="77777777" w:rsidR="006862E0" w:rsidRDefault="00000000">
      <w:pPr>
        <w:spacing w:before="240" w:line="480" w:lineRule="auto"/>
      </w:pPr>
      <w:r>
        <w:rPr>
          <w:b/>
          <w:bCs/>
          <w:i/>
          <w:iCs/>
        </w:rPr>
        <w:lastRenderedPageBreak/>
        <w:t>The European Union Artificial Intelligence Act</w:t>
      </w:r>
    </w:p>
    <w:p w14:paraId="6C6EA643" w14:textId="77777777" w:rsidR="006862E0" w:rsidRDefault="00000000">
      <w:pPr>
        <w:spacing w:line="480" w:lineRule="auto"/>
      </w:pPr>
      <w:r>
        <w:t>Regulation (EU) 2024/1689, the AI Act (European Parliament and Council 2024), was materially amended by Regulation (EU) 2026/1744, known as the Digital Omnibus on AI, which entered into force on 27 July 2026 and deferred the main high-risk obligations of Chapter III Sections 1 to 3 to 2 December 2027 for systems classified under Annex III and to 2 August 2028 for those classified under Annex I (European Parliament and Council 2026). The Act adopts a risk-tiered structure whose legal architecture has been examined in detail, including its derivation from European Union product safety law and the consequences of that derivation for fundamental rights protection (Veale and Zuiderveen Borgesius 2021; Almada and Petit 2025), the specific content of its risk management obligation for high-risk systems (Schuett 2024), the conflation of trustworthiness with acceptability of risk running through it (Laux et al. 2024b), the reliance on harmonized standards to give its requirements operational content (Mökander et al. 2022; Laux et al. 2024a), and proposals for scenario-based assessment methods scaled to the level of risk (Novelli et al. 2024a; Novelli et al. 2024b). Three features of the amended Act determine how it applies to a construction platform.</w:t>
      </w:r>
    </w:p>
    <w:p w14:paraId="6BED565E" w14:textId="77777777" w:rsidR="006862E0" w:rsidRDefault="00000000">
      <w:pPr>
        <w:spacing w:line="480" w:lineRule="auto"/>
      </w:pPr>
      <w:r>
        <w:t>The first, Annex III point 2, addresses critical infrastructure through a closed list covering safety components in the management and operation of critical digital infrastructure, road traffic and four named utility supplies. However, buildings, bridges, tunnels and structural assets are not within it, and the provision extends to management and operation rather than to design or inspection, leaving software which determines the assessed structural condition of public infrastructure outside the high-risk tier. This result is counterintuitive and consequential. The function a civil engineer would identify as the most safety-critical on the platform is the one the Act does not reach.</w:t>
      </w:r>
    </w:p>
    <w:p w14:paraId="0B174212" w14:textId="77777777" w:rsidR="006862E0" w:rsidRDefault="00000000">
      <w:pPr>
        <w:spacing w:line="480" w:lineRule="auto"/>
      </w:pPr>
      <w:r>
        <w:lastRenderedPageBreak/>
        <w:t>The second, Annex III point 4(b), covers software used to make decisions affecting the terms of work-related relationships, to allocate tasks on the basis of individual behavior or personal traits, or to monitor and evaluate the performance and behavior of persons in such relationships. The final subparagraph of Article 6(3) provides for software performing profiling of natural persons to always be considered high risk, which rules out the available exemptions for any function building individual behavioral profiles. Workforce allocation and subcontractor performance scoring fall squarely within this provision, and the profiling rule removes the derogation route that a deployer might otherwise argue.</w:t>
      </w:r>
    </w:p>
    <w:p w14:paraId="164E7200" w14:textId="77777777" w:rsidR="006862E0" w:rsidRDefault="00000000">
      <w:pPr>
        <w:spacing w:line="480" w:lineRule="auto"/>
      </w:pPr>
      <w:r>
        <w:t>The third, Article 5(1)(f), prohibits the use of AI systems to infer the emotions of a natural person in the areas of workplace and education institutions, other than for medical or safety reasons, since 2 February 2025, at a penalty tier reaching EUR 35,000,000 or 7 percent of total worldwide annual turnover. Separately, the transparency obligations of Article 50 have applied since 2 August 2026. Whether fatigue inference in an equipment cab falls within the medical or safety exception is unresolved, and the wider literature on emotion detection in the workplace offers no agreed position (Huber et al. 2025). A deployer facing that question carries a prohibition risk already in force, not a future obligation.</w:t>
      </w:r>
    </w:p>
    <w:p w14:paraId="5A782C16" w14:textId="127CC571" w:rsidR="006862E0" w:rsidRDefault="00000000">
      <w:pPr>
        <w:spacing w:before="240" w:line="480" w:lineRule="auto"/>
      </w:pPr>
      <w:r>
        <w:rPr>
          <w:b/>
          <w:bCs/>
          <w:i/>
          <w:iCs/>
        </w:rPr>
        <w:t xml:space="preserve">United States </w:t>
      </w:r>
      <w:r w:rsidR="007177AE">
        <w:rPr>
          <w:b/>
          <w:bCs/>
          <w:i/>
          <w:iCs/>
        </w:rPr>
        <w:t xml:space="preserve">(U.S.) </w:t>
      </w:r>
      <w:r>
        <w:rPr>
          <w:b/>
          <w:bCs/>
          <w:i/>
          <w:iCs/>
        </w:rPr>
        <w:t>instruments</w:t>
      </w:r>
    </w:p>
    <w:p w14:paraId="4F4029C6" w14:textId="47096FDD" w:rsidR="006862E0" w:rsidRDefault="00000000">
      <w:pPr>
        <w:spacing w:line="480" w:lineRule="auto"/>
      </w:pPr>
      <w:r>
        <w:t xml:space="preserve">In the U.S. the position differs in kind rather than in degree, since the rules binding civil engineering practice do not address this software at all and constrain it only through requirements about what a qualified person must personally do. The National Bridge Inspection Standards (NBIS) require the bridge owner to provide at least one team leader at the bridge who meets the minimum qualifications and who actively participates in the inspection at all times. A full-text examination of 23 CFR Part 650 Subpart C establishes the absence of the terms </w:t>
      </w:r>
      <w:r>
        <w:lastRenderedPageBreak/>
        <w:t>automated, artificial intelligence, unmanned and drone anywhere within it, the sole occurrence of the term remote being in the definition of probability at 650.305 rather than in any provision governing inspection method (FHWA 2022). The model law of the National Council of Examiners for Engineering and Surveying (NCEES) defines responsible charge as the exercise of full professional knowledge of and control over the work, including the capability to answer questions about the decisions made, and contains no reference to these technologies (NCEES 2025), while Policy Statement 573 of the American Society of Civil Engineers (ASCE) states AI cannot serve as a replacement for the professional judgment of a licensed Professional Engineer (PE) (ASCE 2024).</w:t>
      </w:r>
    </w:p>
    <w:p w14:paraId="6B8F6C57" w14:textId="77777777" w:rsidR="006862E0" w:rsidRDefault="00000000">
      <w:pPr>
        <w:spacing w:line="480" w:lineRule="auto"/>
      </w:pPr>
      <w:r>
        <w:t>The U.S. position is therefore not permissive but indirect. Nothing prohibits the software; the constraint operates on the human being who must remain answerable for the result. A deployment that leaves a licensed engineer unable to answer questions about a decision has created an exposure under professional licensure law even where no AI-specific rule has been broken.</w:t>
      </w:r>
    </w:p>
    <w:p w14:paraId="783C3685" w14:textId="77777777" w:rsidR="006862E0" w:rsidRDefault="00000000">
      <w:pPr>
        <w:spacing w:before="240" w:line="480" w:lineRule="auto"/>
      </w:pPr>
      <w:r>
        <w:rPr>
          <w:b/>
          <w:bCs/>
          <w:i/>
          <w:iCs/>
        </w:rPr>
        <w:t>Human oversight, the convergent control</w:t>
      </w:r>
    </w:p>
    <w:p w14:paraId="39048254" w14:textId="77777777" w:rsidR="006862E0" w:rsidRDefault="00000000">
      <w:pPr>
        <w:spacing w:line="480" w:lineRule="auto"/>
      </w:pPr>
      <w:r>
        <w:t xml:space="preserve">Both regulatory traditions therefore converge on human oversight as the principal control, and the limitations of that control are documented. Requirements for a person to review algorithmic output have been shown to function poorly in practice, because they place responsibility on individuals who lack the information, the time or the standing to exercise it and so give the system legitimacy without actually controlling it (Green and Chen 2019; Green 2022). The underlying mechanism is automation bias, the tendency of an operator to accept an automated recommendation without independent verification, which has been demonstrated experimentally over four decades and reviewed systematically in safety-critical and clinical settings (Bainbridge </w:t>
      </w:r>
      <w:r>
        <w:lastRenderedPageBreak/>
        <w:t>1983; Skitka et al. 1999; Skitka et al. 2000; Parasuraman and Manzey 2010; Goddard et al. 2012). The effect is stronger where verification is itself effortful, and the more complex the output the less likely it is to be checked (Lyell and Coiera 2017), while interventions imposing deliberate friction on the reviewer have been shown to reduce overreliance measurably (Buçinca et al. 2021).</w:t>
      </w:r>
    </w:p>
    <w:p w14:paraId="7D08ADA6" w14:textId="77777777" w:rsidR="006862E0" w:rsidRDefault="00000000">
      <w:pPr>
        <w:spacing w:line="480" w:lineRule="auto"/>
      </w:pPr>
      <w:r>
        <w:t>The practical consequence is direct: an oversight control earns the label effective only by demonstration, never by specification alone. Its capacity must be stated numerically against the volume of output it is required to review, and that ratio must be auditable. A control recorded as human review, without a figure attached, satisfies neither the Act nor the doctrine of responsible charge in any way an auditor could test.</w:t>
      </w:r>
    </w:p>
    <w:p w14:paraId="50FAB10A" w14:textId="77777777" w:rsidR="006862E0" w:rsidRDefault="00000000">
      <w:pPr>
        <w:spacing w:before="240" w:line="480" w:lineRule="auto"/>
      </w:pPr>
      <w:r>
        <w:rPr>
          <w:b/>
          <w:bCs/>
        </w:rPr>
        <w:t>One Procurement, Five Regulatory Positions</w:t>
      </w:r>
    </w:p>
    <w:p w14:paraId="3C66B0AA" w14:textId="77777777" w:rsidR="006862E0" w:rsidRDefault="00000000">
      <w:pPr>
        <w:spacing w:line="480" w:lineRule="auto"/>
      </w:pPr>
      <w:r>
        <w:t xml:space="preserve">The analysis above resolves into a practical test when applied to a platform of the kind now marketed to contractors. Consider a highway bridge rehabilitation program on which a contractor has procured a single integrated AI delivery platform from one supplier under one commercial decision and has deployed five agents from it. The agent functions are drawn from capabilities documented in the research literature and in the agentic construction software market of 2025 and 2026, namely automated specification and document review (Zheng and Fischer 2023; Saka et al. 2024), computer vision assessment of structural condition (Cha et al. 2017; Spencer et al. 2019; Dong and Catbas 2021; Feroz and Abu Dabous 2021; Pierce et al. 2024), data-driven allocation of labor to work fronts and scoring of subcontractor performance (Emaminejad and Akhavian 2022), vision-based detection of personal protective equipment (PPE) compliance on site (Delhi et al. 2020), and data-driven schedule and cost forecasting linked to asset condition (Sacks et al. 2020; Prieto et al. 2023; Jeon et al. 2024). </w:t>
      </w:r>
      <w:r>
        <w:rPr>
          <w:b/>
          <w:bCs/>
        </w:rPr>
        <w:t>Fig. 1</w:t>
      </w:r>
      <w:r>
        <w:t xml:space="preserve"> shows the platform, the documents </w:t>
      </w:r>
      <w:r>
        <w:lastRenderedPageBreak/>
        <w:t>and systems each agent may read, the records each may write, and the two interfaces at which one agent consumes the output of another.</w:t>
      </w:r>
    </w:p>
    <w:p w14:paraId="548CF183" w14:textId="77777777" w:rsidR="00BB38B5" w:rsidRDefault="00BB38B5" w:rsidP="00BB38B5">
      <w:pPr>
        <w:spacing w:line="480" w:lineRule="auto"/>
        <w:rPr>
          <w:b/>
          <w:bCs/>
        </w:rPr>
      </w:pPr>
      <w:r w:rsidRPr="00BB38B5">
        <w:rPr>
          <w:b/>
          <w:bCs/>
        </w:rPr>
        <w:drawing>
          <wp:inline distT="0" distB="0" distL="0" distR="0" wp14:anchorId="081B51A1" wp14:editId="642D0C08">
            <wp:extent cx="3650453" cy="5000263"/>
            <wp:effectExtent l="0" t="0" r="7620" b="0"/>
            <wp:docPr id="11282354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658623" cy="5011454"/>
                    </a:xfrm>
                    <a:prstGeom prst="rect">
                      <a:avLst/>
                    </a:prstGeom>
                    <a:noFill/>
                    <a:ln>
                      <a:noFill/>
                    </a:ln>
                  </pic:spPr>
                </pic:pic>
              </a:graphicData>
            </a:graphic>
          </wp:inline>
        </w:drawing>
      </w:r>
    </w:p>
    <w:p w14:paraId="3E1A0AC1" w14:textId="77777777" w:rsidR="00BB38B5" w:rsidRDefault="00BB38B5" w:rsidP="00BB38B5">
      <w:pPr>
        <w:spacing w:line="480" w:lineRule="auto"/>
      </w:pPr>
      <w:r>
        <w:rPr>
          <w:b/>
          <w:bCs/>
        </w:rPr>
        <w:t xml:space="preserve">Fig. 1. </w:t>
      </w:r>
      <w:r>
        <w:t>The delivery platform under analysis: what each agent reads and writes, its regulatory position, and the two interfaces between agents.</w:t>
      </w:r>
    </w:p>
    <w:p w14:paraId="6921E64C" w14:textId="77777777" w:rsidR="00BB38B5" w:rsidRDefault="00BB38B5">
      <w:pPr>
        <w:spacing w:line="480" w:lineRule="auto"/>
      </w:pPr>
    </w:p>
    <w:p w14:paraId="4A94300A" w14:textId="77777777" w:rsidR="006862E0" w:rsidRDefault="00000000">
      <w:pPr>
        <w:spacing w:line="480" w:lineRule="auto"/>
      </w:pPr>
      <w:r>
        <w:t xml:space="preserve">One feature of the case shapes everything after it: a single purchase produced five different regulatory objects. </w:t>
      </w:r>
      <w:r>
        <w:rPr>
          <w:b/>
          <w:bCs/>
        </w:rPr>
        <w:t>Table 1</w:t>
      </w:r>
      <w:r>
        <w:t xml:space="preserve"> records the position of each agent on the analysis set out above. The workforce allocation agent falls within Annex III point 4(b) without argument and, because it constructs individual behavioral profiles, cannot rely on the exemptions otherwise available </w:t>
      </w:r>
      <w:r>
        <w:lastRenderedPageBreak/>
        <w:t>under Article 6(3). The site safety agent occupies the same position and additionally raises a prohibition question under Article 5(1)(f) in respect of the module inferring operator fatigue. The specification compliance agent is subject to transparency obligations only. The inspection agent falls outside Annex III and is instead constrained by the presence and participation requirement of the NBIS and by the doctrine of responsible charge. The forecasting agent carries no obligation under any law reviewed. A contractor who classified the platform once, as a platform, would therefore have classified four fifths of it incorrectly, which is the practical form of the intended-purpose principle identified in the legal literature (Veale and Zuiderveen Borgesius 2021; Schuett 2024).</w:t>
      </w:r>
    </w:p>
    <w:p w14:paraId="3203D802" w14:textId="77777777" w:rsidR="006862E0" w:rsidRDefault="00000000">
      <w:pPr>
        <w:spacing w:line="480" w:lineRule="auto"/>
      </w:pPr>
      <w:r>
        <w:t>Two consequences follow for the delivery organization. The first: classification must be recorded per function, with a date and a named owner, before deployment rather than after an enforcement question arises. An undetermined classification is not a neutral state; the obligations attach whether or not anyone has looked. The second: the interfaces require an owner of their own. The coordination trigger familiar from construction practice, under which a duty holder is appointed because more than one party is engaged, transfers to this setting without modification, and the seam between agents is precisely where the multi-agent literature locates a material share of failures (Cemri et al. 2025).</w:t>
      </w:r>
    </w:p>
    <w:p w14:paraId="58829F8A" w14:textId="77777777" w:rsidR="006862E0" w:rsidRDefault="00000000">
      <w:pPr>
        <w:spacing w:before="240" w:line="480" w:lineRule="auto"/>
      </w:pPr>
      <w:r>
        <w:rPr>
          <w:b/>
          <w:bCs/>
        </w:rPr>
        <w:t>Implications and Research Needs</w:t>
      </w:r>
    </w:p>
    <w:p w14:paraId="262F50AB" w14:textId="78EDE3F3" w:rsidR="006862E0" w:rsidRDefault="00000000">
      <w:pPr>
        <w:spacing w:line="480" w:lineRule="auto"/>
      </w:pPr>
      <w:r>
        <w:t xml:space="preserve">Three implications follow for organizations deploying such platforms. The first: the unit of assessment must be the function and not the product. A single procurement in this case produced two high-risk classifications, one of which also raises a prohibited practice question, one limited-risk classification, one function governed by </w:t>
      </w:r>
      <w:r w:rsidR="009A64B3">
        <w:t xml:space="preserve">U.S. </w:t>
      </w:r>
      <w:r>
        <w:t xml:space="preserve">bridge inspection law but outside Annex III, and one function no reviewed instrument covers, which is the operational consequence of the </w:t>
      </w:r>
      <w:r>
        <w:lastRenderedPageBreak/>
        <w:t>intended-purpose construction of the Act (Veale and Zuiderveen Borgesius 2021; Schuett 2024; Almada and Petit 2025). The second: the function a civil engineer would treat as most safety-critical, structural condition assessment, is the one European law does not reach, so a governance program that follows only the legal perimeter will leave the engineering exposure unmanaged. The third: human oversight must be sized rather than asserted, for the reasons set out above, and the sizing must appear in a document an auditor can test.</w:t>
      </w:r>
    </w:p>
    <w:p w14:paraId="00367A4E" w14:textId="77777777" w:rsidR="006862E0" w:rsidRDefault="00000000">
      <w:pPr>
        <w:spacing w:line="480" w:lineRule="auto"/>
      </w:pPr>
      <w:r>
        <w:t>Two research needs follow directly. The first concerns measurement. Probability in the AI risk literature is almost always asserted rather than measured, even though the NIST AI RMF devotes an entire function to measurement and requires performance to be demonstrated for conditions similar to the deployment setting (Tabassi 2023). Suppliers in this sector publish no failure rates, and a practitioner asked to assess the likelihood of a specification agent misapplying a code provision has no published figure to work from. Constructing evaluation items directly from governing legal text, so correctness is decided by the instrument rather than by an annotator, offers a route to such figures (Blair-Stanek et al. 2023; Guha et al. 2023), and that route can be applied to the platform described here, converting each classification into a priced entry on the project risk register.</w:t>
      </w:r>
    </w:p>
    <w:p w14:paraId="44FEAF11" w14:textId="77777777" w:rsidR="006862E0" w:rsidRDefault="00000000">
      <w:pPr>
        <w:spacing w:line="480" w:lineRule="auto"/>
      </w:pPr>
      <w:r>
        <w:t>The second concerns the conversion of a governance finding into a management decision. The frameworks reviewed above stop at the point where an organization must decide how much control to buy. Construction already possesses the apparatus for that decision, in the risk register, the probability and impact matrix, expected value and simulated contingency (ISO 2018; PMI 2019; AACE 2021), and the open question is whether an AI deployment can be carried through it without modification.</w:t>
      </w:r>
    </w:p>
    <w:p w14:paraId="798F09DF" w14:textId="77777777" w:rsidR="006862E0" w:rsidRDefault="00000000">
      <w:pPr>
        <w:spacing w:before="240" w:line="480" w:lineRule="auto"/>
      </w:pPr>
      <w:r>
        <w:rPr>
          <w:b/>
          <w:bCs/>
        </w:rPr>
        <w:t>Conclusion</w:t>
      </w:r>
    </w:p>
    <w:p w14:paraId="7F7AB169" w14:textId="3C0454AF" w:rsidR="006862E0" w:rsidRDefault="00000000">
      <w:pPr>
        <w:spacing w:line="480" w:lineRule="auto"/>
      </w:pPr>
      <w:r>
        <w:lastRenderedPageBreak/>
        <w:t>This paper set out to establish where the binding instruments actually reach an AI deployment on a construction project. Under the European Union AI Act as amended in 2026, the answer varies sharply by function: software assessing the structural condition of public infrastructure sits outside the high-risk tier because the critical infrastructure list is closed and does not reach structures; software allocating work or scoring individual performance is high risk with the available exemptions foreclosed by the profiling rule of Article 6(3); and any module inferring worker emotion faces a prohibition in force since February 2025. U</w:t>
      </w:r>
      <w:r w:rsidR="009A64B3">
        <w:t xml:space="preserve">.S. </w:t>
      </w:r>
      <w:r>
        <w:t xml:space="preserve">instruments do not address the software at all and constrain it only through the personal obligations of a qualified individual, under the </w:t>
      </w:r>
      <w:r w:rsidR="009A64B3">
        <w:t>NBIS</w:t>
      </w:r>
      <w:r>
        <w:t>, the NCEES doctrine of responsible charge and ASCE Policy Statement 573.</w:t>
      </w:r>
    </w:p>
    <w:p w14:paraId="20F4FDA9" w14:textId="77777777" w:rsidR="006862E0" w:rsidRDefault="00000000">
      <w:pPr>
        <w:spacing w:line="480" w:lineRule="auto"/>
      </w:pPr>
      <w:r>
        <w:t>Both traditions converge on human oversight, and four decades of research on automation bias establish that oversight fails where it is specified without being sized. Applied to a five-agent delivery platform bought under one commercial decision, the analysis produced five distinct regulatory positions, from a prohibited practice question to a function no reviewed instrument covers. The governance unit is the function, not the product, and an organization classifying its platform once will classify most of it incorrectly. What the frameworks do not supply, and what construction already possesses, is the apparatus for converting that finding into a priced management decision.</w:t>
      </w:r>
    </w:p>
    <w:p w14:paraId="71B40140" w14:textId="77777777" w:rsidR="006862E0" w:rsidRDefault="00000000">
      <w:pPr>
        <w:spacing w:before="240" w:line="480" w:lineRule="auto"/>
      </w:pPr>
      <w:r>
        <w:rPr>
          <w:b/>
          <w:bCs/>
        </w:rPr>
        <w:t>Data Availability Statement</w:t>
      </w:r>
    </w:p>
    <w:p w14:paraId="21A0F1AF" w14:textId="77777777" w:rsidR="006862E0" w:rsidRDefault="00000000">
      <w:pPr>
        <w:spacing w:line="480" w:lineRule="auto"/>
      </w:pPr>
      <w:r>
        <w:t>No data, models, or code were generated or used during the study. The regulatory analysis reported here rests on published instruments cited in the References. The platform described in the demonstration is hypothetical.</w:t>
      </w:r>
    </w:p>
    <w:p w14:paraId="36647CC0" w14:textId="77777777" w:rsidR="006862E0" w:rsidRDefault="00000000">
      <w:pPr>
        <w:spacing w:before="240" w:line="480" w:lineRule="auto"/>
      </w:pPr>
      <w:r>
        <w:rPr>
          <w:b/>
          <w:bCs/>
        </w:rPr>
        <w:t>Acknowledgments</w:t>
      </w:r>
    </w:p>
    <w:p w14:paraId="481291BD" w14:textId="7B521516" w:rsidR="006862E0" w:rsidRDefault="00000000">
      <w:pPr>
        <w:spacing w:line="480" w:lineRule="auto"/>
      </w:pPr>
      <w:r>
        <w:lastRenderedPageBreak/>
        <w:t>The author thanks Clifford J. Schexnayder, Ph.D., P.E., Dist.M.ASCE, who reviewed the complete manuscript, whose comments on structure and presentation improved it throughout, Generative AI tools were used for drafting assistance, literature search and figure generation; all regulatory provisions, citations and references were verified by the author against primary sources.</w:t>
      </w:r>
    </w:p>
    <w:p w14:paraId="0B6DDE26" w14:textId="77777777" w:rsidR="006862E0" w:rsidRDefault="00000000">
      <w:pPr>
        <w:spacing w:before="240" w:line="480" w:lineRule="auto"/>
      </w:pPr>
      <w:r>
        <w:rPr>
          <w:b/>
          <w:bCs/>
        </w:rPr>
        <w:t>References</w:t>
      </w:r>
    </w:p>
    <w:p w14:paraId="10F00D28" w14:textId="77777777" w:rsidR="006862E0" w:rsidRDefault="00000000">
      <w:pPr>
        <w:spacing w:line="480" w:lineRule="auto"/>
        <w:ind w:left="360" w:hanging="360"/>
      </w:pPr>
      <w:r>
        <w:t>AACE (AACE International). 2021. Risk analysis and contingency determination using expected value. Recommended Practice 44R-08. Morgantown, WV: AACE International. Accessed August 24, 2026. https://web.aacei.org.</w:t>
      </w:r>
    </w:p>
    <w:p w14:paraId="64357798" w14:textId="77777777" w:rsidR="006862E0" w:rsidRDefault="00000000">
      <w:pPr>
        <w:spacing w:line="480" w:lineRule="auto"/>
        <w:ind w:left="360" w:hanging="360"/>
      </w:pPr>
      <w:r>
        <w:t>Abioye, S. O., L. O. Oyedele, L. Akanbi, A. Ajayi, J. M. Davila Delgado, M. Bilal, O. O. Akinade, and A. Ahmed. 2021. "Artificial intelligence in the construction industry: a review of present status, opportunities and future challenges." J. Build. Eng. 44: 103299. https://doi.org/10.1016/j.jobe.2021.103299</w:t>
      </w:r>
    </w:p>
    <w:p w14:paraId="7239E7AB" w14:textId="77777777" w:rsidR="006862E0" w:rsidRDefault="00000000">
      <w:pPr>
        <w:spacing w:line="480" w:lineRule="auto"/>
        <w:ind w:left="360" w:hanging="360"/>
      </w:pPr>
      <w:r>
        <w:t>AGC (Associated General Contractors of America) and Sage. 2026. Dampened expectations: The 2026 construction hiring and business outlook. Arlington, VA: AGC. Accessed August 24, 2026. https://www.agc.org/.</w:t>
      </w:r>
    </w:p>
    <w:p w14:paraId="32798914" w14:textId="77777777" w:rsidR="006862E0" w:rsidRDefault="00000000">
      <w:pPr>
        <w:spacing w:line="480" w:lineRule="auto"/>
        <w:ind w:left="360" w:hanging="360"/>
      </w:pPr>
      <w:r>
        <w:t>Akinosho, T. D., L. O. Oyedele, M. Bilal, A. O. Ajayi, M. D. Delgado, O. O. Akinade, and A. A. Ahmed. 2020. "Deep learning in the construction industry: a review of present status and future innovations." J. Build. Eng. 32: 101827. https://doi.org/10.1016/j.jobe.2020.101827</w:t>
      </w:r>
    </w:p>
    <w:p w14:paraId="7B8C84C7" w14:textId="77777777" w:rsidR="006862E0" w:rsidRDefault="00000000">
      <w:pPr>
        <w:spacing w:line="480" w:lineRule="auto"/>
        <w:ind w:left="360" w:hanging="360"/>
      </w:pPr>
      <w:r>
        <w:t>Almada, M., and N. Petit. 2025. "The EU AI Act: between the rock of product safety and the hard place of fundamental rights." Common Mark. Law Rev. 62 (1): 85-120. https://doi.org/10.54648/cola2025004</w:t>
      </w:r>
    </w:p>
    <w:p w14:paraId="58CEAF31" w14:textId="77777777" w:rsidR="006862E0" w:rsidRDefault="00000000">
      <w:pPr>
        <w:spacing w:line="480" w:lineRule="auto"/>
        <w:ind w:left="360" w:hanging="360"/>
      </w:pPr>
      <w:r>
        <w:lastRenderedPageBreak/>
        <w:t>ASCE (American Society of Civil Engineers). 2024. Artificial intelligence and engineering responsibility. Policy Statement 573. Adopted by the Board of Direction July 18, 2024. Reston, VA: ASCE. Accessed August 24, 2026. https://www.asce.org/advocacy/policy-statements/ps573---artificial-intelligence-and-engineering-responsibility.</w:t>
      </w:r>
    </w:p>
    <w:p w14:paraId="0C23D008" w14:textId="77777777" w:rsidR="006862E0" w:rsidRDefault="00000000">
      <w:pPr>
        <w:spacing w:line="480" w:lineRule="auto"/>
        <w:ind w:left="360" w:hanging="360"/>
      </w:pPr>
      <w:r>
        <w:t>Back, W. E., W. W. Boles, and G. T. Fry. 2000. "Defining triangular probability distributions from historical cost data." J. Constr. Eng. Manage. 126 (1): 29-37. https://doi.org/10.1061/(ASCE)0733-9364(2000)126:1(29)</w:t>
      </w:r>
    </w:p>
    <w:p w14:paraId="54F08597" w14:textId="77777777" w:rsidR="006862E0" w:rsidRDefault="00000000">
      <w:pPr>
        <w:spacing w:line="480" w:lineRule="auto"/>
        <w:ind w:left="360" w:hanging="360"/>
      </w:pPr>
      <w:r>
        <w:t>Badhan, S. J., and R. Samsami. 2026. "A construction-specific framework addressing explainability, liability, and ethical boundaries of AI use in civil engineering." Buildings 16 (14): 2759. https://doi.org/10.3390/buildings16142759</w:t>
      </w:r>
    </w:p>
    <w:p w14:paraId="2A41E506" w14:textId="77777777" w:rsidR="006862E0" w:rsidRDefault="00000000">
      <w:pPr>
        <w:spacing w:line="480" w:lineRule="auto"/>
        <w:ind w:left="360" w:hanging="360"/>
      </w:pPr>
      <w:r>
        <w:t>Bainbridge, L. 1983. "Ironies of automation." Automatica 19 (6): 775-779. https://doi.org/10.1016/0005-1098(83)90046-8</w:t>
      </w:r>
    </w:p>
    <w:p w14:paraId="3CFBD1A0" w14:textId="77777777" w:rsidR="006862E0" w:rsidRDefault="00000000">
      <w:pPr>
        <w:spacing w:line="480" w:lineRule="auto"/>
        <w:ind w:left="360" w:hanging="360"/>
      </w:pPr>
      <w:r>
        <w:t>Barnett, S., S. Kurniawan, S. Thudumu, Z. Brannelly, and M. Abdelrazek. 2024. "Seven failure points when engineering a retrieval augmented generation system." In Proc. IEEE/ACM 3rd Int. Conf. on AI Engineering (CAIN 2024), 194-199. New York: ACM. https://doi.org/10.1145/3644815.3644945</w:t>
      </w:r>
    </w:p>
    <w:p w14:paraId="23A5B4AE" w14:textId="77777777" w:rsidR="006862E0" w:rsidRDefault="00000000">
      <w:pPr>
        <w:spacing w:line="480" w:lineRule="auto"/>
        <w:ind w:left="360" w:hanging="360"/>
      </w:pPr>
      <w:r>
        <w:t>Blair-Stanek, A., N. Holzenberger, and B. Van Durme. 2023. "Can GPT-3 perform statutory reasoning?" In Proc., 19th Int. Conf. on Artificial Intelligence and Law (ICAIL 2023), 22-31. New York: ACM. https://doi.org/10.1145/3594536.3595163</w:t>
      </w:r>
    </w:p>
    <w:p w14:paraId="27112A9D" w14:textId="77777777" w:rsidR="006862E0" w:rsidRDefault="00000000">
      <w:pPr>
        <w:spacing w:line="480" w:lineRule="auto"/>
        <w:ind w:left="360" w:hanging="360"/>
      </w:pPr>
      <w:r>
        <w:t>Blair-Stanek, A., N. Holzenberger, and B. Van Durme. 2024. "BLT: can large language models handle basic legal text?" In Proc., Natural Legal Language Processing Workshop 2024, 216-232. Stroudsburg, PA: ACL. https://doi.org/10.18653/v1/2024.nllp-1.18</w:t>
      </w:r>
    </w:p>
    <w:p w14:paraId="589C93BD" w14:textId="77777777" w:rsidR="006862E0" w:rsidRDefault="00000000">
      <w:pPr>
        <w:spacing w:line="480" w:lineRule="auto"/>
        <w:ind w:left="360" w:hanging="360"/>
      </w:pPr>
      <w:r>
        <w:lastRenderedPageBreak/>
        <w:t>Buçinca, Z., M. B. Malaya, and K. Z. Gajos. 2021. "To trust or to think: cognitive forcing functions can reduce overreliance on AI in AI-assisted decision-making." Proc. ACM Hum.-Comput. Interact. 5 (CSCW1): 1-21. https://doi.org/10.1145/3449287</w:t>
      </w:r>
    </w:p>
    <w:p w14:paraId="09DC972D" w14:textId="77777777" w:rsidR="006862E0" w:rsidRDefault="00000000">
      <w:pPr>
        <w:spacing w:line="480" w:lineRule="auto"/>
        <w:ind w:left="360" w:hanging="360"/>
      </w:pPr>
      <w:r>
        <w:t>Byrd, A. R., and M. Geheran. 2026. "Engineering AI trustworthiness: a framework of civil engineering ethics and explainable AI to build AI bridges from research to practice." J. Comput. Civ. Eng. 40 (3): 02526001. https://doi.org/10.1061/JCCEE5.CPENG-6649</w:t>
      </w:r>
    </w:p>
    <w:p w14:paraId="6EA040D5" w14:textId="77777777" w:rsidR="006862E0" w:rsidRDefault="00000000">
      <w:pPr>
        <w:spacing w:line="480" w:lineRule="auto"/>
        <w:ind w:left="360" w:hanging="360"/>
      </w:pPr>
      <w:r>
        <w:t>Cemri, M., M. Z. Pan, S. Yang, L. A. Agrawal, B. Chopra, R. Tiwari, K. Keutzer, A. Parameswaran, D. Klein, K. Ramchandran, M. Zaharia, J. E. Gonzalez, and I. Stoica. 2025. "Why do multi-agent LLM systems fail?" In Advances in neural information processing systems 38, 135676-135729. Red Hook, NY: Curran Associates. https://doi.org/10.52202/085713-4082</w:t>
      </w:r>
    </w:p>
    <w:p w14:paraId="14E42105" w14:textId="77777777" w:rsidR="006862E0" w:rsidRDefault="00000000">
      <w:pPr>
        <w:spacing w:line="480" w:lineRule="auto"/>
        <w:ind w:left="360" w:hanging="360"/>
      </w:pPr>
      <w:r>
        <w:t>Cha, Y.-J., W. Choi, and O. Büyüköztürk. 2017. "Deep learning-based crack damage detection using convolutional neural networks." Comput.-Aided Civ. Infrastruct. Eng. 32 (5): 361-378. https://doi.org/10.1111/mice.12263</w:t>
      </w:r>
    </w:p>
    <w:p w14:paraId="0ED37730" w14:textId="77777777" w:rsidR="006862E0" w:rsidRDefault="00000000">
      <w:pPr>
        <w:spacing w:line="480" w:lineRule="auto"/>
        <w:ind w:left="360" w:hanging="360"/>
      </w:pPr>
      <w:r>
        <w:t>Chen, J., H. Lin, X. Han, and L. Sun. 2024. "Benchmarking large language models in retrieval-augmented generation." Proc. AAAI Conf. Artif. Intell. 38 (16): 17754-17762. https://doi.org/10.1609/aaai.v38i16.29728</w:t>
      </w:r>
    </w:p>
    <w:p w14:paraId="61903305" w14:textId="77777777" w:rsidR="006862E0" w:rsidRDefault="00000000">
      <w:pPr>
        <w:spacing w:line="480" w:lineRule="auto"/>
        <w:ind w:left="360" w:hanging="360"/>
      </w:pPr>
      <w:r>
        <w:t>Dahl, M., V. Magesh, M. Suzgun, and D. E. Ho. 2024. "Large legal fictions: profiling legal hallucinations in large language models." J. Legal Anal. 16 (1): 64-93. https://doi.org/10.1093/jla/laae003</w:t>
      </w:r>
    </w:p>
    <w:p w14:paraId="740224B3" w14:textId="77777777" w:rsidR="006862E0" w:rsidRDefault="00000000">
      <w:pPr>
        <w:spacing w:line="480" w:lineRule="auto"/>
        <w:ind w:left="360" w:hanging="360"/>
      </w:pPr>
      <w:r>
        <w:t xml:space="preserve">Darko, A., A. P. C. Chan, M. A. Adabre, D. J. Edwards, M. R. Hosseini, and E. E. Ameyaw. 2020. "Artificial intelligence in the AEC industry: scientometric analysis and visualization of </w:t>
      </w:r>
      <w:r>
        <w:lastRenderedPageBreak/>
        <w:t>research activities." Autom. Constr. 112: 103081. https://doi.org/10.1016/j.autcon.2020.103081</w:t>
      </w:r>
    </w:p>
    <w:p w14:paraId="1146D7B9" w14:textId="77777777" w:rsidR="006862E0" w:rsidRDefault="00000000">
      <w:pPr>
        <w:spacing w:line="480" w:lineRule="auto"/>
        <w:ind w:left="360" w:hanging="360"/>
      </w:pPr>
      <w:r>
        <w:t>Delhi, V. S. K., R. Sankarlal, and A. Thomas. 2020. "Detection of personal protective equipment (PPE) compliance on construction site using computer vision based deep learning techniques." Front. Built Environ. 6: 136. https://doi.org/10.3389/fbuil.2020.00136</w:t>
      </w:r>
    </w:p>
    <w:p w14:paraId="65CE8EE0" w14:textId="77777777" w:rsidR="006862E0" w:rsidRDefault="00000000">
      <w:pPr>
        <w:spacing w:line="480" w:lineRule="auto"/>
        <w:ind w:left="360" w:hanging="360"/>
      </w:pPr>
      <w:r>
        <w:t>Dong, C.-Z., and F. N. Catbas. 2021. "A review of computer vision-based structural health monitoring at local and global levels." Struct. Health Monit. 20 (2): 692-743. https://doi.org/10.1177/1475921720935585</w:t>
      </w:r>
    </w:p>
    <w:p w14:paraId="404C09D5" w14:textId="77777777" w:rsidR="006862E0" w:rsidRDefault="00000000">
      <w:pPr>
        <w:spacing w:line="480" w:lineRule="auto"/>
        <w:ind w:left="360" w:hanging="360"/>
      </w:pPr>
      <w:r>
        <w:t>Emaminejad, N., and R. Akhavian. 2022. "Trustworthy AI and robotics: implications for the AEC industry." Autom. Constr. 139: 104298. https://doi.org/10.1016/j.autcon.2022.104298</w:t>
      </w:r>
    </w:p>
    <w:p w14:paraId="4021FDC8" w14:textId="77777777" w:rsidR="006862E0" w:rsidRDefault="00000000">
      <w:pPr>
        <w:spacing w:line="480" w:lineRule="auto"/>
        <w:ind w:left="360" w:hanging="360"/>
      </w:pPr>
      <w:r>
        <w:t>European Parliament and Council. 2024. Regulation (EU) 2024/1689 of 13 June 2024 laying down harmonised rules on artificial intelligence (Artificial Intelligence Act). OJ L, 2024/1689, 12.7.2024. Accessed August 24, 2026. https://eur-lex.europa.eu/eli/reg/2024/1689/oj/eng.</w:t>
      </w:r>
    </w:p>
    <w:p w14:paraId="7311AD7B" w14:textId="77777777" w:rsidR="006862E0" w:rsidRDefault="00000000">
      <w:pPr>
        <w:spacing w:line="480" w:lineRule="auto"/>
        <w:ind w:left="360" w:hanging="360"/>
      </w:pPr>
      <w:r>
        <w:t>European Parliament and Council. 2026. Regulation (EU) 2026/1744 of 8 July 2026 amending Regulations (EU) 2024/1689, (EU) 2018/1139 and (EU) 2023/1230 as regards the simplification of the implementation of harmonised rules on artificial intelligence (Digital Omnibus on AI). OJ L, 2026/1744, 24.7.2026. Accessed August 24, 2026. https://eur-lex.europa.eu/eli/reg/2026/1744/oj/eng.</w:t>
      </w:r>
    </w:p>
    <w:p w14:paraId="083940FF" w14:textId="77777777" w:rsidR="006862E0" w:rsidRDefault="00000000">
      <w:pPr>
        <w:spacing w:line="480" w:lineRule="auto"/>
        <w:ind w:left="360" w:hanging="360"/>
      </w:pPr>
      <w:r>
        <w:t>Farquhar, S., J. Kossen, L. Kuhn, and Y. Gal. 2024. "Detecting hallucinations in large language models using semantic entropy." Nature 630 (8017): 625-630. https://doi.org/10.1038/s41586-024-07421-0</w:t>
      </w:r>
    </w:p>
    <w:p w14:paraId="177F2D1D" w14:textId="77777777" w:rsidR="006862E0" w:rsidRDefault="00000000">
      <w:pPr>
        <w:spacing w:line="480" w:lineRule="auto"/>
        <w:ind w:left="360" w:hanging="360"/>
      </w:pPr>
      <w:r>
        <w:lastRenderedPageBreak/>
        <w:t>Feroz, S., and S. Abu Dabous. 2021. "UAV-based remote sensing applications for bridge condition assessment." Remote Sens. 13 (9): 1809. https://doi.org/10.3390/rs13091809</w:t>
      </w:r>
    </w:p>
    <w:p w14:paraId="04F2670A" w14:textId="77777777" w:rsidR="006862E0" w:rsidRDefault="00000000">
      <w:pPr>
        <w:spacing w:line="480" w:lineRule="auto"/>
        <w:ind w:left="360" w:hanging="360"/>
      </w:pPr>
      <w:r>
        <w:t>FHWA (Federal Highway Administration). 2022. National bridge inspection standards. Final rule, May 6, 2022. 87 Fed. Reg. 27396. 23 CFR Part 650 Subpart C. Washington, DC: FHWA. Accessed August 24, 2026. https://www.federalregister.gov/d/2022-09512.</w:t>
      </w:r>
    </w:p>
    <w:p w14:paraId="62679245" w14:textId="77777777" w:rsidR="006862E0" w:rsidRDefault="00000000">
      <w:pPr>
        <w:spacing w:line="480" w:lineRule="auto"/>
        <w:ind w:left="360" w:hanging="360"/>
      </w:pPr>
      <w:r>
        <w:t>FIEC (European Construction Industry Federation). 2025. Artificial intelligence in the European construction sector: Strategic adoption, responsible use, and sectoral leadership. Position paper. Brussels, Belgium: FIEC. Accessed August 24, 2026. https://www.fiec.eu/.</w:t>
      </w:r>
    </w:p>
    <w:p w14:paraId="3A633E47" w14:textId="77777777" w:rsidR="006862E0" w:rsidRDefault="00000000">
      <w:pPr>
        <w:spacing w:line="480" w:lineRule="auto"/>
        <w:ind w:left="360" w:hanging="360"/>
      </w:pPr>
      <w:r>
        <w:t>Ghimire, P., K. Kim, and M. Acharya. 2024. "Opportunities and challenges of generative AI in construction industry: focusing on adoption of text-based models." Buildings 14 (1): 220. https://doi.org/10.3390/buildings14010220</w:t>
      </w:r>
    </w:p>
    <w:p w14:paraId="0C590223" w14:textId="77777777" w:rsidR="006862E0" w:rsidRDefault="00000000">
      <w:pPr>
        <w:spacing w:line="480" w:lineRule="auto"/>
        <w:ind w:left="360" w:hanging="360"/>
      </w:pPr>
      <w:r>
        <w:t>Goddard, K., A. Roudsari, and J. C. Wyatt. 2012. "Automation bias: a systematic review of frequency, effect mediators, and mitigators." J. Am. Med. Inform. Assoc. 19 (1): 121-127. https://doi.org/10.1136/amiajnl-2011-000089</w:t>
      </w:r>
    </w:p>
    <w:p w14:paraId="4DB3B21C" w14:textId="77777777" w:rsidR="006862E0" w:rsidRDefault="00000000">
      <w:pPr>
        <w:spacing w:line="480" w:lineRule="auto"/>
        <w:ind w:left="360" w:hanging="360"/>
      </w:pPr>
      <w:r>
        <w:t>Green, B. 2022. "The flaws of policies requiring human oversight of government algorithms." Comput. Law Secur. Rev. 45: 105681. https://doi.org/10.1016/j.clsr.2022.105681</w:t>
      </w:r>
    </w:p>
    <w:p w14:paraId="01C4BB43" w14:textId="77777777" w:rsidR="006862E0" w:rsidRDefault="00000000">
      <w:pPr>
        <w:spacing w:line="480" w:lineRule="auto"/>
        <w:ind w:left="360" w:hanging="360"/>
      </w:pPr>
      <w:r>
        <w:t>Green, B., and Y. Chen. 2019. "The principles and limits of algorithm-in-the-loop decision making." Proc. ACM Hum.-Comput. Interact. 3 (CSCW): 1-24. https://doi.org/10.1145/3359152</w:t>
      </w:r>
    </w:p>
    <w:p w14:paraId="735099B5" w14:textId="77777777" w:rsidR="006862E0" w:rsidRDefault="00000000">
      <w:pPr>
        <w:spacing w:line="480" w:lineRule="auto"/>
        <w:ind w:left="360" w:hanging="360"/>
      </w:pPr>
      <w:r>
        <w:t xml:space="preserve">Guha, N., J. Nyarko, D. E. Ho, C. Ré, A. Chilton, A. Narayana, A. Chohlas-Wood, A. Peters, B. Waldon, D. N. Rockmore, D. Zambrano, D. Talisman, E. Hoque, F. Surani, F. Fagan, G. Sarfaty, G. M. Dickinson, H. Porat, J. Hegland, J. Wu, J. Nudell, J. Niklaus, J. Nay, J. H. Choi, K. Tobia, M. Hagan, M. Ma, M. Livermore, N. Rasumov-Rahe, N. Holzenberger, N. </w:t>
      </w:r>
      <w:r>
        <w:lastRenderedPageBreak/>
        <w:t>Kolt, P. Henderson, S. Rehaag, S. Goel, S. Gao, S. Williams, S. Gandhi, T. Zur, V. Iyer, and Z. Li. 2023. "LegalBench: a collaboratively built benchmark for measuring legal reasoning in large language models." In Advances in neural information processing systems 36, 44123-44279. Red Hook, NY: Curran Associates. https://doi.org/10.52202/075280-1915</w:t>
      </w:r>
    </w:p>
    <w:p w14:paraId="7625A093" w14:textId="77777777" w:rsidR="006862E0" w:rsidRDefault="00000000">
      <w:pPr>
        <w:spacing w:line="480" w:lineRule="auto"/>
        <w:ind w:left="360" w:hanging="360"/>
      </w:pPr>
      <w:r>
        <w:t>Guo, T., X. Chen, Y. Wang, R. Chang, S. Pei, N. V. Chawla, O. Wiest, and X. Zhang. 2024. "Large language model based multi-agents: a survey of progress and challenges." In Proc., 33rd Int. Joint Conf. on Artificial Intelligence (IJCAI-24), 8048-8057. Vienna, Austria: IJCAI. https://doi.org/10.24963/ijcai.2024/890</w:t>
      </w:r>
    </w:p>
    <w:p w14:paraId="1C8E26DC" w14:textId="77777777" w:rsidR="006862E0" w:rsidRDefault="00000000">
      <w:pPr>
        <w:spacing w:line="480" w:lineRule="auto"/>
        <w:ind w:left="360" w:hanging="360"/>
      </w:pPr>
      <w:r>
        <w:t>Hicks, M. T., J. Humphries, and J. Slater. 2024. "ChatGPT is bullshit." Ethics Inf. Technol. 26 (2): 38. https://doi.org/10.1007/s10676-024-09775-5</w:t>
      </w:r>
    </w:p>
    <w:p w14:paraId="1475785A" w14:textId="77777777" w:rsidR="006862E0" w:rsidRDefault="00000000">
      <w:pPr>
        <w:spacing w:line="480" w:lineRule="auto"/>
        <w:ind w:left="360" w:hanging="360"/>
      </w:pPr>
      <w:r>
        <w:t>Hong, S., M. Zhuge, J. Chen, X. Zheng, Y. Cheng, C. Zhang, J. Wang, Z. Wang, S. K. S. Yau, Z. Lin, L. Zhou, C. Ran, L. Xiao, C. Wu, and J. Schmidhuber. 2024. "MetaGPT: meta programming for a multi-agent collaborative framework." In Proc., 12th Int. Conf. on Learning Representations (ICLR 2024). Accessed August 24, 2026. https://openreview.net/forum?id=VtmBAGCN7o.</w:t>
      </w:r>
    </w:p>
    <w:p w14:paraId="7996D189" w14:textId="77777777" w:rsidR="006862E0" w:rsidRDefault="00000000">
      <w:pPr>
        <w:spacing w:line="480" w:lineRule="auto"/>
        <w:ind w:left="360" w:hanging="360"/>
      </w:pPr>
      <w:r>
        <w:t>Huang, L., W. Yu, W. Ma, W. Zhong, Z. Feng, H. Wang, Q. Chen, W. Peng, X. Feng, B. Qin, and T. Liu. 2025. "A survey on hallucination in large language models: principles, taxonomy, challenges, and open questions." ACM Trans. Inf. Syst. 43 (2): 1-55. https://doi.org/10.1145/3703155</w:t>
      </w:r>
    </w:p>
    <w:p w14:paraId="29F1617E" w14:textId="77777777" w:rsidR="006862E0" w:rsidRDefault="00000000">
      <w:pPr>
        <w:spacing w:line="480" w:lineRule="auto"/>
        <w:ind w:left="360" w:hanging="360"/>
      </w:pPr>
      <w:r>
        <w:t>Huber, J., B. Anzengruber-Tanase, M. Schobesberger, M. Haslgrübler, R. Fischer-Schwarz, and A. Ferscha. 2025. "Evaluating user safety aspects of AI-based systems in industrial occupational safety: a critical review of research literature." Int. J. Environ. Res. Public Health 22 (5): 705. https://doi.org/10.3390/ijerph22050705</w:t>
      </w:r>
    </w:p>
    <w:p w14:paraId="2C35E7D4" w14:textId="77777777" w:rsidR="006862E0" w:rsidRDefault="00000000">
      <w:pPr>
        <w:spacing w:line="480" w:lineRule="auto"/>
        <w:ind w:left="360" w:hanging="360"/>
      </w:pPr>
      <w:r>
        <w:lastRenderedPageBreak/>
        <w:t>ISO. 2018. Risk management—Guidelines. 2nd ed. ISO 31000. Geneva: ISO.</w:t>
      </w:r>
    </w:p>
    <w:p w14:paraId="2B0B8DAD" w14:textId="77777777" w:rsidR="006862E0" w:rsidRDefault="00000000">
      <w:pPr>
        <w:spacing w:line="480" w:lineRule="auto"/>
        <w:ind w:left="360" w:hanging="360"/>
      </w:pPr>
      <w:r>
        <w:t>ISO/IEC. 2023a. Information technology—Artificial intelligence—Guidance on risk management. ISO/IEC 23894. Geneva: ISO/IEC.</w:t>
      </w:r>
    </w:p>
    <w:p w14:paraId="754701A2" w14:textId="77777777" w:rsidR="006862E0" w:rsidRDefault="00000000">
      <w:pPr>
        <w:spacing w:line="480" w:lineRule="auto"/>
        <w:ind w:left="360" w:hanging="360"/>
      </w:pPr>
      <w:r>
        <w:t>ISO/IEC. 2023b. Information technology—Artificial intelligence—Management system. ISO/IEC 42001. Geneva: ISO/IEC.</w:t>
      </w:r>
    </w:p>
    <w:p w14:paraId="4016913F" w14:textId="77777777" w:rsidR="006862E0" w:rsidRDefault="00000000">
      <w:pPr>
        <w:spacing w:line="480" w:lineRule="auto"/>
        <w:ind w:left="360" w:hanging="360"/>
      </w:pPr>
      <w:r>
        <w:t>ISO/IEC. 2025. Information technology—Artificial intelligence (AI)—AI system impact assessment. ISO/IEC 42005. Geneva: ISO/IEC.</w:t>
      </w:r>
    </w:p>
    <w:p w14:paraId="3CCEFF38" w14:textId="77777777" w:rsidR="006862E0" w:rsidRDefault="00000000">
      <w:pPr>
        <w:spacing w:line="480" w:lineRule="auto"/>
        <w:ind w:left="360" w:hanging="360"/>
      </w:pPr>
      <w:r>
        <w:t>Jeon, C.-H., C.-S. Shim, Y.-H. Lee, and J. Schooling. 2024. "Prescriptive maintenance of prestressed concrete bridges considering digital twin and key performance indicator." Eng. Struct. 302: 117383. https://doi.org/10.1016/j.engstruct.2023.117383</w:t>
      </w:r>
    </w:p>
    <w:p w14:paraId="6C21DF4F" w14:textId="77777777" w:rsidR="006862E0" w:rsidRDefault="00000000">
      <w:pPr>
        <w:spacing w:line="480" w:lineRule="auto"/>
        <w:ind w:left="360" w:hanging="360"/>
      </w:pPr>
      <w:r>
        <w:t>Ji, Z., N. Lee, R. Frieske, T. Yu, D. Su, Y. Xu, E. Ishii, Y. J. Bang, A. Madotto, and P. Fung. 2023. "Survey of hallucination in natural language generation." ACM Comput. Surv. 55 (12): 1-38. https://doi.org/10.1145/3571730</w:t>
      </w:r>
    </w:p>
    <w:p w14:paraId="6A80BCFA" w14:textId="77777777" w:rsidR="006862E0" w:rsidRDefault="00000000">
      <w:pPr>
        <w:spacing w:line="480" w:lineRule="auto"/>
        <w:ind w:left="360" w:hanging="360"/>
      </w:pPr>
      <w:r>
        <w:t>Karpukhin, V., B. Oğuz, S. Min, P. Lewis, L. Wu, S. Edunov, D. Chen, and W.-t. Yih. 2020. "Dense passage retrieval for open-domain question answering." In Proc., 2020 Conf. on Empirical Methods in Natural Language Processing (EMNLP), 6769-6781. Stroudsburg, PA: ACL. https://doi.org/10.18653/v1/2020.emnlp-main.550</w:t>
      </w:r>
    </w:p>
    <w:p w14:paraId="67DEB695" w14:textId="77777777" w:rsidR="006862E0" w:rsidRDefault="00000000">
      <w:pPr>
        <w:spacing w:line="480" w:lineRule="auto"/>
        <w:ind w:left="360" w:hanging="360"/>
      </w:pPr>
      <w:r>
        <w:t>Laux, J., S. Wachter, and B. Mittelstadt. 2024a. "Three pathways for standardisation and ethical disclosure by default under the European Union Artificial Intelligence Act." Comput. Law Secur. Rev. 53: 105957. https://doi.org/10.1016/j.clsr.2024.105957</w:t>
      </w:r>
    </w:p>
    <w:p w14:paraId="660F6451" w14:textId="77777777" w:rsidR="006862E0" w:rsidRDefault="00000000">
      <w:pPr>
        <w:spacing w:line="480" w:lineRule="auto"/>
        <w:ind w:left="360" w:hanging="360"/>
      </w:pPr>
      <w:r>
        <w:t>Laux, J., S. Wachter, and B. Mittelstadt. 2024b. "Trustworthy artificial intelligence and the European Union AI Act: on the conflation of trustworthiness and acceptability of risk." Regul. Gov. 18 (1): 3-32. https://doi.org/10.1111/rego.12512</w:t>
      </w:r>
    </w:p>
    <w:p w14:paraId="778870BB" w14:textId="77777777" w:rsidR="006862E0" w:rsidRDefault="00000000">
      <w:pPr>
        <w:spacing w:line="480" w:lineRule="auto"/>
        <w:ind w:left="360" w:hanging="360"/>
      </w:pPr>
      <w:r>
        <w:lastRenderedPageBreak/>
        <w:t>Lewis, P., E. Perez, A. Piktus, F. Petroni, V. Karpukhin, N. Goyal, H. Kuttler, M. Lewis, W.-t. Yih, T. Rocktaschel, S. Riedel, and D. Kiela. 2020. "Retrieval-augmented generation for knowledge-intensive NLP tasks." In Advances in neural information processing systems 33, 9459-9474. Red Hook, NY: Curran Associates.</w:t>
      </w:r>
    </w:p>
    <w:p w14:paraId="4859B90F" w14:textId="77777777" w:rsidR="006862E0" w:rsidRDefault="00000000">
      <w:pPr>
        <w:spacing w:line="480" w:lineRule="auto"/>
        <w:ind w:left="360" w:hanging="360"/>
      </w:pPr>
      <w:r>
        <w:t>Liang, C.-J., T.-H. Le, Y. Ham, B. R. K. Mantha, M. H. Cheng, and J. J. Lin. 2024. "Ethics of artificial intelligence and robotics in the architecture, engineering, and construction industry." Autom. Constr. 162: 105369. https://doi.org/10.1016/j.autcon.2024.105369</w:t>
      </w:r>
    </w:p>
    <w:p w14:paraId="351D497E" w14:textId="77777777" w:rsidR="006862E0" w:rsidRDefault="00000000">
      <w:pPr>
        <w:spacing w:line="480" w:lineRule="auto"/>
        <w:ind w:left="360" w:hanging="360"/>
      </w:pPr>
      <w:r>
        <w:t>Liang, P., R. Bommasani, T. Lee, D. Tsipras, D. Soylu, M. Yasunaga, Y. Zhang, D. Narayanan, Y. Wu, A. Kumar, B. Newman, B. Yuan, B. Yan, C. Zhang, C. Cosgrove, C. D. Manning, C. Ré, D. Acosta-Navas, D. A. Hudson, E. Zelikman, E. Durmus, F. Ladhak, F. Rong, H. Ren, H. Yao, J. Wang, K. Santhanam, L. Orr, L. Zheng, M. Yuksekgonul, M. Suzgun, N. Kim, N. Guha, N. Chatterji, O. Khattab, P. Henderson, Q. Huang, R. Chi, S. M. Xie, S. Santurkar, S. Ganguli, T. Hashimoto, T. Icard, T. Zhang, V. Chaudhary, W. Wang, X. Li, Y. Mai, Y. Zhang, and Y. Koreeda. 2023. "Holistic evaluation of language models." Trans. Mach. Learn. Res. Accessed August 24, 2026. https://openreview.net/forum?id=iO4LZibEqW.</w:t>
      </w:r>
    </w:p>
    <w:p w14:paraId="3F9946D5" w14:textId="77777777" w:rsidR="006862E0" w:rsidRDefault="00000000">
      <w:pPr>
        <w:spacing w:line="480" w:lineRule="auto"/>
        <w:ind w:left="360" w:hanging="360"/>
      </w:pPr>
      <w:r>
        <w:t>Lyell, D., and E. Coiera. 2017. "Automation bias and verification complexity: a systematic review." J. Am. Med. Inform. Assoc. 24 (2): 423-431. https://doi.org/10.1093/jamia/ocw105</w:t>
      </w:r>
    </w:p>
    <w:p w14:paraId="763F2DF8" w14:textId="77777777" w:rsidR="006862E0" w:rsidRDefault="00000000">
      <w:pPr>
        <w:spacing w:line="480" w:lineRule="auto"/>
        <w:ind w:left="360" w:hanging="360"/>
      </w:pPr>
      <w:r>
        <w:t>Magesh, V., F. Surani, M. Dahl, M. Suzgun, C. D. Manning, and D. E. Ho. 2025. "Hallucination-free? Assessing the reliability of leading AI legal research tools." J. Empir. Leg. Stud. 22 (2): 216-242. https://doi.org/10.1111/jels.12413</w:t>
      </w:r>
    </w:p>
    <w:p w14:paraId="70D38611" w14:textId="77777777" w:rsidR="006862E0" w:rsidRDefault="00000000">
      <w:pPr>
        <w:spacing w:line="480" w:lineRule="auto"/>
        <w:ind w:left="360" w:hanging="360"/>
      </w:pPr>
      <w:r>
        <w:t xml:space="preserve">Manakul, P., A. Liusie, and M. Gales. 2023. "SelfCheckGPT: zero-resource black-box hallucination detection for generative large language models." In Proc., 2023 Conf. on </w:t>
      </w:r>
      <w:r>
        <w:lastRenderedPageBreak/>
        <w:t>Empirical Methods in Natural Language Processing (EMNLP), 9004-9017. Stroudsburg, PA: ACL. https://doi.org/10.18653/v1/2023.emnlp-main.557</w:t>
      </w:r>
    </w:p>
    <w:p w14:paraId="7DCB277E" w14:textId="77777777" w:rsidR="006862E0" w:rsidRDefault="00000000">
      <w:pPr>
        <w:spacing w:line="480" w:lineRule="auto"/>
        <w:ind w:left="360" w:hanging="360"/>
      </w:pPr>
      <w:r>
        <w:t>Martin, H., J. James, and A. Chadee. 2025. "Exploring large language model AI tools in construction project risk assessment: Chat GPT limitations in risk identification, mitigation strategies, and user experience." J. Constr. Eng. Manage. 151 (9): 04025119. https://doi.org/10.1061/JCEMD4.COENG-16658</w:t>
      </w:r>
    </w:p>
    <w:p w14:paraId="75B70D92" w14:textId="77777777" w:rsidR="006862E0" w:rsidRDefault="00000000">
      <w:pPr>
        <w:spacing w:line="480" w:lineRule="auto"/>
        <w:ind w:left="360" w:hanging="360"/>
      </w:pPr>
      <w:r>
        <w:t>Mökander, J., M. Axente, F. Casolari, and L. Floridi. 2022. "Conformity assessments and post-market monitoring: a guide to the role of auditing in the proposed European AI regulation." Minds Mach. 32 (2): 241-268. https://doi.org/10.1007/s11023-021-09577-4</w:t>
      </w:r>
    </w:p>
    <w:p w14:paraId="0A90A389" w14:textId="77777777" w:rsidR="006862E0" w:rsidRDefault="00000000">
      <w:pPr>
        <w:spacing w:line="480" w:lineRule="auto"/>
        <w:ind w:left="360" w:hanging="360"/>
      </w:pPr>
      <w:r>
        <w:t>Naghdi, M., N. Mahmoudi, A. Erfani, and M. Ilbeigi. 2026. "Explainable artificial intelligence in construction engineering and management: review of applications, trends, and opportunities." Autom. Constr. 190: 107112. https://doi.org/10.1016/j.autcon.2026.107112</w:t>
      </w:r>
    </w:p>
    <w:p w14:paraId="69DE7E3B" w14:textId="77777777" w:rsidR="006862E0" w:rsidRDefault="00000000">
      <w:pPr>
        <w:spacing w:line="480" w:lineRule="auto"/>
        <w:ind w:left="360" w:hanging="360"/>
      </w:pPr>
      <w:r>
        <w:t>NCEES (National Council of Examiners for Engineering and Surveying). 2025. NCEES model law. August 2025 ed. Greenville, SC: NCEES. Accessed August 24, 2026. https://ncees.org.</w:t>
      </w:r>
    </w:p>
    <w:p w14:paraId="179D97DF" w14:textId="77777777" w:rsidR="006862E0" w:rsidRDefault="00000000">
      <w:pPr>
        <w:spacing w:line="480" w:lineRule="auto"/>
        <w:ind w:left="360" w:hanging="360"/>
      </w:pPr>
      <w:r>
        <w:t>NIST (National Institute of Standards and Technology). 2024. Artificial intelligence risk management framework: Generative artificial intelligence profile. NIST AI 600-1. Gaithersburg, MD: NIST. https://doi.org/10.6028/NIST.AI.600-1</w:t>
      </w:r>
    </w:p>
    <w:p w14:paraId="13D7F1D9" w14:textId="77777777" w:rsidR="006862E0" w:rsidRDefault="00000000">
      <w:pPr>
        <w:spacing w:line="480" w:lineRule="auto"/>
        <w:ind w:left="360" w:hanging="360"/>
      </w:pPr>
      <w:r>
        <w:t>Novelli, C., F. Casolari, A. Rotolo, M. Taddeo, and L. Floridi. 2024a. "AI risk assessment: a scenario-based, proportional methodology for the AI Act." Digit. Soc. 3 (1): 13. https://doi.org/10.1007/s44206-024-00095-1</w:t>
      </w:r>
    </w:p>
    <w:p w14:paraId="5E65CF46" w14:textId="77777777" w:rsidR="006862E0" w:rsidRDefault="00000000">
      <w:pPr>
        <w:spacing w:line="480" w:lineRule="auto"/>
        <w:ind w:left="360" w:hanging="360"/>
      </w:pPr>
      <w:r>
        <w:t>Novelli, C., F. Casolari, A. Rotolo, M. Taddeo, and L. Floridi. 2024b. "Taking AI risks seriously: a new assessment model for the AI Act." AI Soc. 39 (5): 2493-2497. https://doi.org/10.1007/s00146-023-01723-z</w:t>
      </w:r>
    </w:p>
    <w:p w14:paraId="02CD882D" w14:textId="77777777" w:rsidR="006862E0" w:rsidRDefault="00000000">
      <w:pPr>
        <w:spacing w:line="480" w:lineRule="auto"/>
        <w:ind w:left="360" w:hanging="360"/>
      </w:pPr>
      <w:r>
        <w:lastRenderedPageBreak/>
        <w:t>Pan, Y., and L. Zhang. 2021. "Roles of artificial intelligence in construction engineering and management: a critical review and future trends." Autom. Constr. 122: 103517. https://doi.org/10.1016/j.autcon.2020.103517</w:t>
      </w:r>
    </w:p>
    <w:p w14:paraId="21EDCE5D" w14:textId="77777777" w:rsidR="006862E0" w:rsidRDefault="00000000">
      <w:pPr>
        <w:spacing w:line="480" w:lineRule="auto"/>
        <w:ind w:left="360" w:hanging="360"/>
      </w:pPr>
      <w:r>
        <w:t>Parasuraman, R., and D. H. Manzey. 2010. "Complacency and bias in human use of automation: an attentional integration." Hum. Factors 52 (3): 381-410. https://doi.org/10.1177/0018720810376055</w:t>
      </w:r>
    </w:p>
    <w:p w14:paraId="3B12791D" w14:textId="77777777" w:rsidR="006862E0" w:rsidRDefault="00000000">
      <w:pPr>
        <w:spacing w:line="480" w:lineRule="auto"/>
        <w:ind w:left="360" w:hanging="360"/>
      </w:pPr>
      <w:r>
        <w:t>Pierce, L. M., S. E. Lopez, J. R. Medina, and V. Jha. 2024. AI Applications for Automatic Pavement Condition Evaluation. NCHRP Synthesis 636. The National Academies Press, Washington, DC. https://doi.org/10.17226/27993</w:t>
      </w:r>
    </w:p>
    <w:p w14:paraId="4EBD2846" w14:textId="77777777" w:rsidR="006862E0" w:rsidRDefault="00000000">
      <w:pPr>
        <w:spacing w:line="480" w:lineRule="auto"/>
        <w:ind w:left="360" w:hanging="360"/>
      </w:pPr>
      <w:r>
        <w:t>Plevris, V., and H. Hosamo. 2025. "Responsible AI in structural engineering: a framework for ethical use." Front. Built Environ. 11: 1612575. https://doi.org/10.3389/fbuil.2025.1612575</w:t>
      </w:r>
    </w:p>
    <w:p w14:paraId="49BEDDFF" w14:textId="77777777" w:rsidR="006862E0" w:rsidRDefault="00000000">
      <w:pPr>
        <w:spacing w:line="480" w:lineRule="auto"/>
        <w:ind w:left="360" w:hanging="360"/>
      </w:pPr>
      <w:r>
        <w:t>PMI (Project Management Institute). 2019. The standard for risk management in portfolios, programs, and projects. Newtown Square, PA: PMI.</w:t>
      </w:r>
    </w:p>
    <w:p w14:paraId="3A574DF0" w14:textId="77777777" w:rsidR="006862E0" w:rsidRDefault="00000000">
      <w:pPr>
        <w:spacing w:line="480" w:lineRule="auto"/>
        <w:ind w:left="360" w:hanging="360"/>
      </w:pPr>
      <w:r>
        <w:t>Prieto, S. A., E. T. Mengiste, and B. García de Soto. 2023. "Investigating the use of ChatGPT for the scheduling of construction projects." Buildings 13 (4): 857. https://doi.org/10.3390/buildings13040857</w:t>
      </w:r>
    </w:p>
    <w:p w14:paraId="4255C2E9" w14:textId="77777777" w:rsidR="006862E0" w:rsidRDefault="00000000">
      <w:pPr>
        <w:spacing w:line="480" w:lineRule="auto"/>
        <w:ind w:left="360" w:hanging="360"/>
      </w:pPr>
      <w:r>
        <w:t>Qian, C., W. Liu, H. Liu, N. Chen, Y. Dang, J. Li, C. Yang, W. Chen, Y. Su, X. Cong, J. Xu, D. Li, Z. Liu, and M. Sun. 2024. "ChatDev: communicative agents for software development." In Proc., 62nd Annual Meeting of the Association for Computational Linguistics (Volume 1: Long Papers), 15174-15186. Stroudsburg, PA: ACL. https://doi.org/10.18653/v1/2024.acl-long.810</w:t>
      </w:r>
    </w:p>
    <w:p w14:paraId="6F232C80" w14:textId="77777777" w:rsidR="006862E0" w:rsidRDefault="00000000">
      <w:pPr>
        <w:spacing w:line="480" w:lineRule="auto"/>
        <w:ind w:left="360" w:hanging="360"/>
      </w:pPr>
      <w:r>
        <w:lastRenderedPageBreak/>
        <w:t>Regona, M., T. Yigitcanlar, B. Xia, and R. Y. M. Li. 2022. "Opportunities and adoption challenges of AI in the construction industry: a PRISMA review." J. Open Innov. Technol. Mark. Complex. 8 (1): 45. https://doi.org/10.3390/joitmc8010045</w:t>
      </w:r>
    </w:p>
    <w:p w14:paraId="336F0BC2" w14:textId="77777777" w:rsidR="006862E0" w:rsidRDefault="00000000">
      <w:pPr>
        <w:spacing w:line="480" w:lineRule="auto"/>
        <w:ind w:left="360" w:hanging="360"/>
      </w:pPr>
      <w:r>
        <w:t>RICS (Royal Institution of Chartered Surveyors). 2025a. Responsible use of artificial intelligence in surveying practice. RICS professional standard, global, 1st ed. London: RICS. Accessed August 24, 2026. https://www.rics.org.</w:t>
      </w:r>
    </w:p>
    <w:p w14:paraId="4622E2A0" w14:textId="77777777" w:rsidR="006862E0" w:rsidRDefault="00000000">
      <w:pPr>
        <w:spacing w:line="480" w:lineRule="auto"/>
        <w:ind w:left="360" w:hanging="360"/>
      </w:pPr>
      <w:r>
        <w:t>RICS (Royal Institution of Chartered Surveyors). 2025b. RICS artificial intelligence in construction report 2025. London: RICS. Accessed August 24, 2026. https://www.rics.org.</w:t>
      </w:r>
    </w:p>
    <w:p w14:paraId="435CE319" w14:textId="77777777" w:rsidR="006862E0" w:rsidRDefault="00000000">
      <w:pPr>
        <w:spacing w:line="480" w:lineRule="auto"/>
        <w:ind w:left="360" w:hanging="360"/>
      </w:pPr>
      <w:r>
        <w:t>Sacks, R., I. Brilakis, E. Pikas, H. S. Xie, and M. Girolami. 2020. "Construction with digital twin information systems." Data-Centric Eng. 1: e14. https://doi.org/10.1017/dce.2020.16</w:t>
      </w:r>
    </w:p>
    <w:p w14:paraId="5D812127" w14:textId="77777777" w:rsidR="006862E0" w:rsidRDefault="00000000">
      <w:pPr>
        <w:spacing w:line="480" w:lineRule="auto"/>
        <w:ind w:left="360" w:hanging="360"/>
      </w:pPr>
      <w:r>
        <w:t>Saka, A., R. Taiwo, N. Saka, B. A. Salami, S. Ajayi, K. Akande, and H. Kazemi. 2024. "GPT models in construction industry: opportunities, limitations, and a use case validation." Dev. Built Environ. 17: 100300. https://doi.org/10.1016/j.dibe.2023.100300</w:t>
      </w:r>
    </w:p>
    <w:p w14:paraId="3DE1C4A9" w14:textId="77777777" w:rsidR="006862E0" w:rsidRDefault="00000000">
      <w:pPr>
        <w:spacing w:line="480" w:lineRule="auto"/>
        <w:ind w:left="360" w:hanging="360"/>
      </w:pPr>
      <w:r>
        <w:t>Schuett, J. 2024. "Risk management in the Artificial Intelligence Act." Eur. J. Risk Regul. 15 (2): 367-385. https://doi.org/10.1017/err.2023.1</w:t>
      </w:r>
    </w:p>
    <w:p w14:paraId="19426C07" w14:textId="77777777" w:rsidR="006862E0" w:rsidRDefault="00000000">
      <w:pPr>
        <w:spacing w:line="480" w:lineRule="auto"/>
        <w:ind w:left="360" w:hanging="360"/>
      </w:pPr>
      <w:r>
        <w:t>Shuster, K., S. Poff, M. Chen, D. Kiela, and J. Weston. 2021. "Retrieval augmentation reduces hallucination in conversation." In Proc., Findings of the Association for Computational Linguistics: EMNLP 2021, 3784-3803. Stroudsburg, PA: ACL. https://doi.org/10.18653/v1/2021.findings-emnlp.320</w:t>
      </w:r>
    </w:p>
    <w:p w14:paraId="2436F9D9" w14:textId="77777777" w:rsidR="006862E0" w:rsidRDefault="00000000">
      <w:pPr>
        <w:spacing w:line="480" w:lineRule="auto"/>
        <w:ind w:left="360" w:hanging="360"/>
      </w:pPr>
      <w:r>
        <w:t>Skitka, L. J., K. L. Mosier, and M. D. Burdick. 1999. "Does automation bias decision-making?" Int. J. Hum.-Comput. Stud. 51 (5): 991-1006. https://doi.org/10.1006/ijhc.1999.0252</w:t>
      </w:r>
    </w:p>
    <w:p w14:paraId="6C1BC13D" w14:textId="77777777" w:rsidR="006862E0" w:rsidRDefault="00000000">
      <w:pPr>
        <w:spacing w:line="480" w:lineRule="auto"/>
        <w:ind w:left="360" w:hanging="360"/>
      </w:pPr>
      <w:r>
        <w:t>Skitka, L. J., K. L. Mosier, and M. D. Burdick. 2000. "Accountability and automation bias." Int. J. Hum.-Comput. Stud. 52 (4): 701-717. https://doi.org/10.1006/ijhc.1999.0349</w:t>
      </w:r>
    </w:p>
    <w:p w14:paraId="7FD11EF8" w14:textId="77777777" w:rsidR="006862E0" w:rsidRDefault="00000000">
      <w:pPr>
        <w:spacing w:line="480" w:lineRule="auto"/>
        <w:ind w:left="360" w:hanging="360"/>
      </w:pPr>
      <w:r>
        <w:lastRenderedPageBreak/>
        <w:t>Slattery, P., A. K. Saeri, E. A. C. Grundy, J. Graham, M. Noetel, R. Uuk, J. Dao, S. Pour, S. Casper, and N. Thompson. 2026. "The AI risk repository: a meta-review, database, and taxonomy of risks from artificial intelligence." Patterns 7 (5): 101517. https://doi.org/10.1016/j.patter.2026.101517</w:t>
      </w:r>
    </w:p>
    <w:p w14:paraId="149DF9D2" w14:textId="77777777" w:rsidR="006862E0" w:rsidRDefault="00000000">
      <w:pPr>
        <w:spacing w:line="480" w:lineRule="auto"/>
        <w:ind w:left="360" w:hanging="360"/>
      </w:pPr>
      <w:r>
        <w:t>Spencer, B. F., Jr., V. Hoskere, and Y. Narazaki. 2019. "Advances in computer vision-based civil infrastructure inspection and monitoring." Engineering 5 (2): 199-222. https://doi.org/10.1016/j.eng.2018.11.030</w:t>
      </w:r>
    </w:p>
    <w:p w14:paraId="0B85AC28" w14:textId="77777777" w:rsidR="006862E0" w:rsidRDefault="00000000">
      <w:pPr>
        <w:spacing w:line="480" w:lineRule="auto"/>
        <w:ind w:left="360" w:hanging="360"/>
      </w:pPr>
      <w:r>
        <w:t>Tabassi, E. 2023. Artificial intelligence risk management framework (AI RMF 1.0). NIST AI 100-1. Gaithersburg, MD: NIST. https://doi.org/10.6028/NIST.AI.100-1</w:t>
      </w:r>
    </w:p>
    <w:p w14:paraId="222A3D38" w14:textId="77777777" w:rsidR="006862E0" w:rsidRDefault="00000000">
      <w:pPr>
        <w:spacing w:line="480" w:lineRule="auto"/>
        <w:ind w:left="360" w:hanging="360"/>
      </w:pPr>
      <w:r>
        <w:t>Tian, K., Z. Zhu, J. Mbachu, A. Ghanbaripour, and M. Moorhead. 2025. "Artificial intelligence in risk management within the realm of construction projects: a bibliometric analysis and systematic literature review." J. Innov. Knowl. 10 (3): 100711. https://doi.org/10.1016/j.jik.2025.100711</w:t>
      </w:r>
    </w:p>
    <w:p w14:paraId="497B5A25" w14:textId="77777777" w:rsidR="006862E0" w:rsidRDefault="00000000">
      <w:pPr>
        <w:spacing w:line="480" w:lineRule="auto"/>
        <w:ind w:left="360" w:hanging="360"/>
      </w:pPr>
      <w:r>
        <w:t>Vassilev, A., A. Oprea, A. Fordyce, H. Anderson, X. Davies, and M. Hamin. 2025. Adversarial machine learning: A taxonomy and terminology of attacks and mitigations. NIST AI 100-2 E2025. Gaithersburg, MD: NIST. https://doi.org/10.6028/NIST.AI.100-2e2025</w:t>
      </w:r>
    </w:p>
    <w:p w14:paraId="1C3E1E40" w14:textId="77777777" w:rsidR="006862E0" w:rsidRDefault="00000000">
      <w:pPr>
        <w:spacing w:line="480" w:lineRule="auto"/>
        <w:ind w:left="360" w:hanging="360"/>
      </w:pPr>
      <w:r>
        <w:t>Veale, M., and F. Zuiderveen Borgesius. 2021. "Demystifying the draft EU Artificial Intelligence Act—analysing the good, the bad, and the unclear elements of the proposed approach." Comput. Law Rev. Int. 22 (4): 97-112. https://doi.org/10.9785/cri-2021-220402</w:t>
      </w:r>
    </w:p>
    <w:p w14:paraId="161B4ACE" w14:textId="77777777" w:rsidR="006862E0" w:rsidRDefault="00000000">
      <w:pPr>
        <w:spacing w:line="480" w:lineRule="auto"/>
        <w:ind w:left="360" w:hanging="360"/>
      </w:pPr>
      <w:r>
        <w:t>Walters, W. H., and E. I. Wilder. 2023. "Fabrication and errors in the bibliographic citations generated by ChatGPT." Sci. Rep. 13 (1): 14045. https://doi.org/10.1038/s41598-023-41032-5</w:t>
      </w:r>
    </w:p>
    <w:p w14:paraId="3011743D" w14:textId="77777777" w:rsidR="006862E0" w:rsidRDefault="00000000">
      <w:pPr>
        <w:spacing w:line="480" w:lineRule="auto"/>
        <w:ind w:left="360" w:hanging="360"/>
      </w:pPr>
      <w:r>
        <w:lastRenderedPageBreak/>
        <w:t>Wang, L., C. Ma, X. Feng, Z. Zhang, H. Yang, J. Zhang, Z. Chen, J. Tang, X. Chen, Y. Lin, W. X. Zhao, Z. Wei, and J. Wen. 2024. "A survey on large language model based autonomous agents." Front. Comput. Sci. 18 (6): 186345. https://doi.org/10.1007/s11704-024-40231-1</w:t>
      </w:r>
    </w:p>
    <w:p w14:paraId="28A512DE" w14:textId="77777777" w:rsidR="006862E0" w:rsidRDefault="00000000">
      <w:pPr>
        <w:spacing w:line="480" w:lineRule="auto"/>
        <w:ind w:left="360" w:hanging="360"/>
      </w:pPr>
      <w:r>
        <w:t>Wu, Q., G. Bansal, J. Zhang, Y. Wu, B. Li, E. Zhu, L. Jiang, X. Zhang, S. Zhang, J. Liu, A. H. Awadallah, R. W. White, D. Burger, and C. Wang. 2024. "AutoGen: enabling next-gen LLM applications via multi-agent conversation." In Proc., 1st Conf. on Language Modeling (COLM 2024). Accessed August 24, 2026. https://openreview.net/forum?id=tEAF9LBdgu.</w:t>
      </w:r>
    </w:p>
    <w:p w14:paraId="5FD185CB" w14:textId="77777777" w:rsidR="006862E0" w:rsidRDefault="00000000">
      <w:pPr>
        <w:spacing w:line="480" w:lineRule="auto"/>
        <w:ind w:left="360" w:hanging="360"/>
      </w:pPr>
      <w:r>
        <w:t>Xi, Z., W. Chen, X. Guo, W. He, Y. Ding, B. Hong, M. Zhang, J. Wang, S. Jin, E. Zhou, R. Zheng, X. Fan, X. Wang, L. Xiong, Y. Zhou, W. Wang, C. Jiang, Y. Zou, X. Liu, Z. Yin, S. Dou, R. Weng, W. Qin, Y. Zheng, X. Qiu, X. Huang, Q. Zhang, and T. Gui. 2025. "The rise and potential of large language model based agents: a survey." Sci. China Inf. Sci. 68 (2): 121101. https://doi.org/10.1007/s11432-024-4222-0</w:t>
      </w:r>
    </w:p>
    <w:p w14:paraId="0406B0F7" w14:textId="77777777" w:rsidR="006862E0" w:rsidRDefault="00000000">
      <w:pPr>
        <w:spacing w:line="480" w:lineRule="auto"/>
        <w:ind w:left="360" w:hanging="360"/>
      </w:pPr>
      <w:r>
        <w:t>Xu, S., J. Wang, W. Shou, T. Ngo, A.-M. Sadick, and X. Wang. 2021. "Computer vision techniques in construction: a critical review." Arch. Comput. Methods Eng. 28 (5): 3383-3397. https://doi.org/10.1007/s11831-020-09504-3</w:t>
      </w:r>
    </w:p>
    <w:p w14:paraId="0FBF9CA5" w14:textId="77777777" w:rsidR="006862E0" w:rsidRDefault="00000000">
      <w:pPr>
        <w:spacing w:line="480" w:lineRule="auto"/>
        <w:ind w:left="360" w:hanging="360"/>
      </w:pPr>
      <w:r>
        <w:t>Yao, S., J. Zhao, D. Yu, N. Du, I. Shafran, K. Narasimhan, and Y. Cao. 2023. "ReAct: synergizing reasoning and acting in language models." In Proc., 11th Int. Conf. on Learning Representations (ICLR 2023). Accessed August 24, 2026. https://openreview.net/forum?id=WE_vluYUL-X.</w:t>
      </w:r>
    </w:p>
    <w:p w14:paraId="44E92029" w14:textId="77777777" w:rsidR="006862E0" w:rsidRDefault="00000000">
      <w:pPr>
        <w:spacing w:line="480" w:lineRule="auto"/>
        <w:ind w:left="360" w:hanging="360"/>
      </w:pPr>
      <w:r>
        <w:t>Zheng, J., and M. Fischer. 2023. "Dynamic prompt-based virtual assistant framework for BIM information search." Autom. Constr. 155: 105067. https://doi.org/10.1016/j.autcon.2023.105067</w:t>
      </w:r>
    </w:p>
    <w:p w14:paraId="6A9B84F0" w14:textId="77777777" w:rsidR="006862E0" w:rsidRDefault="006862E0">
      <w:pPr>
        <w:sectPr w:rsidR="006862E0" w:rsidSect="007177AE">
          <w:footerReference w:type="default" r:id="rId8"/>
          <w:pgSz w:w="12240" w:h="15840"/>
          <w:pgMar w:top="1440" w:right="1440" w:bottom="1440" w:left="1440" w:header="708" w:footer="708" w:gutter="0"/>
          <w:cols w:space="720"/>
          <w:docGrid w:linePitch="360"/>
        </w:sectPr>
      </w:pPr>
    </w:p>
    <w:p w14:paraId="6B47D343" w14:textId="77777777" w:rsidR="006862E0" w:rsidRDefault="00000000">
      <w:pPr>
        <w:keepNext/>
        <w:spacing w:before="160" w:after="80"/>
      </w:pPr>
      <w:r>
        <w:rPr>
          <w:b/>
          <w:bCs/>
          <w:sz w:val="22"/>
          <w:szCs w:val="22"/>
        </w:rPr>
        <w:lastRenderedPageBreak/>
        <w:t xml:space="preserve">Table 1. </w:t>
      </w:r>
      <w:r>
        <w:rPr>
          <w:sz w:val="22"/>
          <w:szCs w:val="22"/>
        </w:rPr>
        <w:t>The five agents of the delivery platform, their action surface, and their regulatory position as at 20 August 2026.</w:t>
      </w:r>
    </w:p>
    <w:tbl>
      <w:tblPr>
        <w:tblW w:w="12960" w:type="dxa"/>
        <w:tblBorders>
          <w:top w:val="single" w:sz="6" w:space="0" w:color="000000"/>
          <w:bottom w:val="single" w:sz="6" w:space="0" w:color="000000"/>
          <w:insideH w:val="single" w:sz="2" w:space="0" w:color="808080"/>
        </w:tblBorders>
        <w:tblCellMar>
          <w:left w:w="10" w:type="dxa"/>
          <w:right w:w="10" w:type="dxa"/>
        </w:tblCellMar>
        <w:tblLook w:val="0000" w:firstRow="0" w:lastRow="0" w:firstColumn="0" w:lastColumn="0" w:noHBand="0" w:noVBand="0"/>
      </w:tblPr>
      <w:tblGrid>
        <w:gridCol w:w="858"/>
        <w:gridCol w:w="2285"/>
        <w:gridCol w:w="4569"/>
        <w:gridCol w:w="5248"/>
      </w:tblGrid>
      <w:tr w:rsidR="006862E0" w14:paraId="512628B5" w14:textId="77777777">
        <w:tblPrEx>
          <w:tblCellMar>
            <w:top w:w="0" w:type="dxa"/>
            <w:bottom w:w="0" w:type="dxa"/>
          </w:tblCellMar>
        </w:tblPrEx>
        <w:trPr>
          <w:tblHeader/>
        </w:trPr>
        <w:tc>
          <w:tcPr>
            <w:tcW w:w="858" w:type="dxa"/>
            <w:tcBorders>
              <w:bottom w:val="single" w:sz="4" w:space="0" w:color="000000"/>
            </w:tcBorders>
            <w:tcMar>
              <w:top w:w="25" w:type="dxa"/>
              <w:left w:w="60" w:type="dxa"/>
              <w:bottom w:w="25" w:type="dxa"/>
              <w:right w:w="60" w:type="dxa"/>
            </w:tcMar>
          </w:tcPr>
          <w:p w14:paraId="3D8096A5" w14:textId="77777777" w:rsidR="006862E0" w:rsidRDefault="00000000">
            <w:pPr>
              <w:spacing w:before="8" w:after="8" w:line="208" w:lineRule="auto"/>
            </w:pPr>
            <w:r>
              <w:rPr>
                <w:b/>
                <w:bCs/>
                <w:sz w:val="20"/>
                <w:szCs w:val="20"/>
              </w:rPr>
              <w:t>#</w:t>
            </w:r>
          </w:p>
        </w:tc>
        <w:tc>
          <w:tcPr>
            <w:tcW w:w="2285" w:type="dxa"/>
            <w:tcBorders>
              <w:bottom w:val="single" w:sz="4" w:space="0" w:color="000000"/>
            </w:tcBorders>
            <w:tcMar>
              <w:top w:w="25" w:type="dxa"/>
              <w:left w:w="60" w:type="dxa"/>
              <w:bottom w:w="25" w:type="dxa"/>
              <w:right w:w="60" w:type="dxa"/>
            </w:tcMar>
          </w:tcPr>
          <w:p w14:paraId="09200199" w14:textId="77777777" w:rsidR="006862E0" w:rsidRDefault="00000000">
            <w:pPr>
              <w:spacing w:before="8" w:after="8" w:line="208" w:lineRule="auto"/>
            </w:pPr>
            <w:r>
              <w:rPr>
                <w:b/>
                <w:bCs/>
                <w:sz w:val="20"/>
                <w:szCs w:val="20"/>
              </w:rPr>
              <w:t>Function</w:t>
            </w:r>
          </w:p>
        </w:tc>
        <w:tc>
          <w:tcPr>
            <w:tcW w:w="4569" w:type="dxa"/>
            <w:tcBorders>
              <w:bottom w:val="single" w:sz="4" w:space="0" w:color="000000"/>
            </w:tcBorders>
            <w:tcMar>
              <w:top w:w="25" w:type="dxa"/>
              <w:left w:w="60" w:type="dxa"/>
              <w:bottom w:w="25" w:type="dxa"/>
              <w:right w:w="60" w:type="dxa"/>
            </w:tcMar>
          </w:tcPr>
          <w:p w14:paraId="2BEA1344" w14:textId="77777777" w:rsidR="006862E0" w:rsidRDefault="00000000">
            <w:pPr>
              <w:spacing w:before="8" w:after="8" w:line="208" w:lineRule="auto"/>
            </w:pPr>
            <w:r>
              <w:rPr>
                <w:b/>
                <w:bCs/>
                <w:sz w:val="20"/>
                <w:szCs w:val="20"/>
              </w:rPr>
              <w:t>What it reads and what it writes</w:t>
            </w:r>
          </w:p>
        </w:tc>
        <w:tc>
          <w:tcPr>
            <w:tcW w:w="5248" w:type="dxa"/>
            <w:tcBorders>
              <w:bottom w:val="single" w:sz="4" w:space="0" w:color="000000"/>
            </w:tcBorders>
            <w:tcMar>
              <w:top w:w="25" w:type="dxa"/>
              <w:left w:w="60" w:type="dxa"/>
              <w:bottom w:w="25" w:type="dxa"/>
              <w:right w:w="60" w:type="dxa"/>
            </w:tcMar>
          </w:tcPr>
          <w:p w14:paraId="4DF1D285" w14:textId="77777777" w:rsidR="006862E0" w:rsidRDefault="00000000">
            <w:pPr>
              <w:spacing w:before="8" w:after="8" w:line="208" w:lineRule="auto"/>
            </w:pPr>
            <w:r>
              <w:rPr>
                <w:b/>
                <w:bCs/>
                <w:sz w:val="20"/>
                <w:szCs w:val="20"/>
              </w:rPr>
              <w:t>Regulatory position</w:t>
            </w:r>
          </w:p>
        </w:tc>
      </w:tr>
      <w:tr w:rsidR="006862E0" w14:paraId="125CCEE1" w14:textId="77777777">
        <w:tblPrEx>
          <w:tblCellMar>
            <w:top w:w="0" w:type="dxa"/>
            <w:bottom w:w="0" w:type="dxa"/>
          </w:tblCellMar>
        </w:tblPrEx>
        <w:tc>
          <w:tcPr>
            <w:tcW w:w="858" w:type="dxa"/>
            <w:tcMar>
              <w:top w:w="25" w:type="dxa"/>
              <w:left w:w="60" w:type="dxa"/>
              <w:bottom w:w="25" w:type="dxa"/>
              <w:right w:w="60" w:type="dxa"/>
            </w:tcMar>
          </w:tcPr>
          <w:p w14:paraId="3FF49347" w14:textId="77777777" w:rsidR="006862E0" w:rsidRDefault="00000000">
            <w:pPr>
              <w:spacing w:before="8" w:after="8" w:line="208" w:lineRule="auto"/>
            </w:pPr>
            <w:r>
              <w:rPr>
                <w:b/>
                <w:bCs/>
                <w:sz w:val="20"/>
                <w:szCs w:val="20"/>
              </w:rPr>
              <w:t>A1</w:t>
            </w:r>
          </w:p>
        </w:tc>
        <w:tc>
          <w:tcPr>
            <w:tcW w:w="2285" w:type="dxa"/>
            <w:tcMar>
              <w:top w:w="25" w:type="dxa"/>
              <w:left w:w="60" w:type="dxa"/>
              <w:bottom w:w="25" w:type="dxa"/>
              <w:right w:w="60" w:type="dxa"/>
            </w:tcMar>
          </w:tcPr>
          <w:p w14:paraId="24C2D75F" w14:textId="77777777" w:rsidR="006862E0" w:rsidRDefault="00000000">
            <w:pPr>
              <w:spacing w:before="8" w:after="8" w:line="208" w:lineRule="auto"/>
            </w:pPr>
            <w:r>
              <w:rPr>
                <w:sz w:val="20"/>
                <w:szCs w:val="20"/>
              </w:rPr>
              <w:t>Specification compliance</w:t>
            </w:r>
          </w:p>
        </w:tc>
        <w:tc>
          <w:tcPr>
            <w:tcW w:w="4569" w:type="dxa"/>
            <w:tcMar>
              <w:top w:w="25" w:type="dxa"/>
              <w:left w:w="60" w:type="dxa"/>
              <w:bottom w:w="25" w:type="dxa"/>
              <w:right w:w="60" w:type="dxa"/>
            </w:tcMar>
          </w:tcPr>
          <w:p w14:paraId="61CD236A" w14:textId="77777777" w:rsidR="006862E0" w:rsidRDefault="00000000">
            <w:pPr>
              <w:spacing w:before="8" w:after="8" w:line="208" w:lineRule="auto"/>
            </w:pPr>
            <w:r>
              <w:rPr>
                <w:sz w:val="20"/>
                <w:szCs w:val="20"/>
              </w:rPr>
              <w:t>Reads specifications, submittals and contract documents; writes non-conformance flags and drafts responses to requests for information (RFI)</w:t>
            </w:r>
          </w:p>
        </w:tc>
        <w:tc>
          <w:tcPr>
            <w:tcW w:w="5248" w:type="dxa"/>
            <w:tcMar>
              <w:top w:w="25" w:type="dxa"/>
              <w:left w:w="60" w:type="dxa"/>
              <w:bottom w:w="25" w:type="dxa"/>
              <w:right w:w="60" w:type="dxa"/>
            </w:tcMar>
          </w:tcPr>
          <w:p w14:paraId="15D4736D" w14:textId="77777777" w:rsidR="006862E0" w:rsidRDefault="00000000">
            <w:pPr>
              <w:spacing w:before="8" w:after="8" w:line="208" w:lineRule="auto"/>
            </w:pPr>
            <w:r>
              <w:rPr>
                <w:sz w:val="20"/>
                <w:szCs w:val="20"/>
              </w:rPr>
              <w:t>Limited risk. Article 50 transparency applies from 2 August 2026. Not within Annex III</w:t>
            </w:r>
          </w:p>
        </w:tc>
      </w:tr>
      <w:tr w:rsidR="006862E0" w14:paraId="3F9C5C17" w14:textId="77777777">
        <w:tblPrEx>
          <w:tblCellMar>
            <w:top w:w="0" w:type="dxa"/>
            <w:bottom w:w="0" w:type="dxa"/>
          </w:tblCellMar>
        </w:tblPrEx>
        <w:tc>
          <w:tcPr>
            <w:tcW w:w="858" w:type="dxa"/>
            <w:tcMar>
              <w:top w:w="25" w:type="dxa"/>
              <w:left w:w="60" w:type="dxa"/>
              <w:bottom w:w="25" w:type="dxa"/>
              <w:right w:w="60" w:type="dxa"/>
            </w:tcMar>
          </w:tcPr>
          <w:p w14:paraId="0D793CA6" w14:textId="77777777" w:rsidR="006862E0" w:rsidRDefault="00000000">
            <w:pPr>
              <w:spacing w:before="8" w:after="8" w:line="208" w:lineRule="auto"/>
            </w:pPr>
            <w:r>
              <w:rPr>
                <w:b/>
                <w:bCs/>
                <w:sz w:val="20"/>
                <w:szCs w:val="20"/>
              </w:rPr>
              <w:t>A2</w:t>
            </w:r>
          </w:p>
        </w:tc>
        <w:tc>
          <w:tcPr>
            <w:tcW w:w="2285" w:type="dxa"/>
            <w:tcMar>
              <w:top w:w="25" w:type="dxa"/>
              <w:left w:w="60" w:type="dxa"/>
              <w:bottom w:w="25" w:type="dxa"/>
              <w:right w:w="60" w:type="dxa"/>
            </w:tcMar>
          </w:tcPr>
          <w:p w14:paraId="7F18548A" w14:textId="77777777" w:rsidR="006862E0" w:rsidRDefault="00000000">
            <w:pPr>
              <w:spacing w:before="8" w:after="8" w:line="208" w:lineRule="auto"/>
            </w:pPr>
            <w:r>
              <w:rPr>
                <w:sz w:val="20"/>
                <w:szCs w:val="20"/>
              </w:rPr>
              <w:t>Inspection reporting</w:t>
            </w:r>
          </w:p>
        </w:tc>
        <w:tc>
          <w:tcPr>
            <w:tcW w:w="4569" w:type="dxa"/>
            <w:tcMar>
              <w:top w:w="25" w:type="dxa"/>
              <w:left w:w="60" w:type="dxa"/>
              <w:bottom w:w="25" w:type="dxa"/>
              <w:right w:w="60" w:type="dxa"/>
            </w:tcMar>
          </w:tcPr>
          <w:p w14:paraId="637020BA" w14:textId="77777777" w:rsidR="006862E0" w:rsidRDefault="00000000">
            <w:pPr>
              <w:spacing w:before="8" w:after="8" w:line="208" w:lineRule="auto"/>
            </w:pPr>
            <w:r>
              <w:rPr>
                <w:sz w:val="20"/>
                <w:szCs w:val="20"/>
              </w:rPr>
              <w:t>Reads imagery and prior inspection records and consults a vision model; writes element condition ratings into the asset management system</w:t>
            </w:r>
          </w:p>
        </w:tc>
        <w:tc>
          <w:tcPr>
            <w:tcW w:w="5248" w:type="dxa"/>
            <w:tcMar>
              <w:top w:w="25" w:type="dxa"/>
              <w:left w:w="60" w:type="dxa"/>
              <w:bottom w:w="25" w:type="dxa"/>
              <w:right w:w="60" w:type="dxa"/>
            </w:tcMar>
          </w:tcPr>
          <w:p w14:paraId="5FA45D4E" w14:textId="77777777" w:rsidR="006862E0" w:rsidRDefault="00000000">
            <w:pPr>
              <w:spacing w:before="8" w:after="8" w:line="208" w:lineRule="auto"/>
            </w:pPr>
            <w:r>
              <w:rPr>
                <w:sz w:val="20"/>
                <w:szCs w:val="20"/>
              </w:rPr>
              <w:t>Outside Annex III, since point 2 does not reach structures and does not extend to inspection. Constrained by 23 CFR 650.313(j) and by responsible charge</w:t>
            </w:r>
          </w:p>
        </w:tc>
      </w:tr>
      <w:tr w:rsidR="006862E0" w14:paraId="2B491B88" w14:textId="77777777">
        <w:tblPrEx>
          <w:tblCellMar>
            <w:top w:w="0" w:type="dxa"/>
            <w:bottom w:w="0" w:type="dxa"/>
          </w:tblCellMar>
        </w:tblPrEx>
        <w:tc>
          <w:tcPr>
            <w:tcW w:w="858" w:type="dxa"/>
            <w:tcMar>
              <w:top w:w="25" w:type="dxa"/>
              <w:left w:w="60" w:type="dxa"/>
              <w:bottom w:w="25" w:type="dxa"/>
              <w:right w:w="60" w:type="dxa"/>
            </w:tcMar>
          </w:tcPr>
          <w:p w14:paraId="6C85C7A1" w14:textId="77777777" w:rsidR="006862E0" w:rsidRDefault="00000000">
            <w:pPr>
              <w:spacing w:before="8" w:after="8" w:line="208" w:lineRule="auto"/>
            </w:pPr>
            <w:r>
              <w:rPr>
                <w:b/>
                <w:bCs/>
                <w:sz w:val="20"/>
                <w:szCs w:val="20"/>
              </w:rPr>
              <w:t>A3</w:t>
            </w:r>
          </w:p>
        </w:tc>
        <w:tc>
          <w:tcPr>
            <w:tcW w:w="2285" w:type="dxa"/>
            <w:tcMar>
              <w:top w:w="25" w:type="dxa"/>
              <w:left w:w="60" w:type="dxa"/>
              <w:bottom w:w="25" w:type="dxa"/>
              <w:right w:w="60" w:type="dxa"/>
            </w:tcMar>
          </w:tcPr>
          <w:p w14:paraId="63484D31" w14:textId="77777777" w:rsidR="006862E0" w:rsidRDefault="00000000">
            <w:pPr>
              <w:spacing w:before="8" w:after="8" w:line="208" w:lineRule="auto"/>
            </w:pPr>
            <w:r>
              <w:rPr>
                <w:sz w:val="20"/>
                <w:szCs w:val="20"/>
              </w:rPr>
              <w:t>Workforce allocation</w:t>
            </w:r>
          </w:p>
        </w:tc>
        <w:tc>
          <w:tcPr>
            <w:tcW w:w="4569" w:type="dxa"/>
            <w:tcMar>
              <w:top w:w="25" w:type="dxa"/>
              <w:left w:w="60" w:type="dxa"/>
              <w:bottom w:w="25" w:type="dxa"/>
              <w:right w:w="60" w:type="dxa"/>
            </w:tcMar>
          </w:tcPr>
          <w:p w14:paraId="67C64B9B" w14:textId="77777777" w:rsidR="006862E0" w:rsidRDefault="00000000">
            <w:pPr>
              <w:spacing w:before="8" w:after="8" w:line="208" w:lineRule="auto"/>
            </w:pPr>
            <w:r>
              <w:rPr>
                <w:sz w:val="20"/>
                <w:szCs w:val="20"/>
              </w:rPr>
              <w:t>Reads individual performance records; writes crew assignments and subcontractor performance scores</w:t>
            </w:r>
          </w:p>
        </w:tc>
        <w:tc>
          <w:tcPr>
            <w:tcW w:w="5248" w:type="dxa"/>
            <w:tcMar>
              <w:top w:w="25" w:type="dxa"/>
              <w:left w:w="60" w:type="dxa"/>
              <w:bottom w:w="25" w:type="dxa"/>
              <w:right w:w="60" w:type="dxa"/>
            </w:tcMar>
          </w:tcPr>
          <w:p w14:paraId="3D4F6E59" w14:textId="77777777" w:rsidR="006862E0" w:rsidRDefault="00000000">
            <w:pPr>
              <w:spacing w:before="8" w:after="8" w:line="208" w:lineRule="auto"/>
            </w:pPr>
            <w:r>
              <w:rPr>
                <w:sz w:val="20"/>
                <w:szCs w:val="20"/>
              </w:rPr>
              <w:t>High risk under Annex III point 4(b). Exemptions ruled out by profiling under Article 6(3). Chapter III applies from 2 December 2027</w:t>
            </w:r>
          </w:p>
        </w:tc>
      </w:tr>
      <w:tr w:rsidR="006862E0" w14:paraId="1D513EC5" w14:textId="77777777">
        <w:tblPrEx>
          <w:tblCellMar>
            <w:top w:w="0" w:type="dxa"/>
            <w:bottom w:w="0" w:type="dxa"/>
          </w:tblCellMar>
        </w:tblPrEx>
        <w:tc>
          <w:tcPr>
            <w:tcW w:w="858" w:type="dxa"/>
            <w:tcMar>
              <w:top w:w="25" w:type="dxa"/>
              <w:left w:w="60" w:type="dxa"/>
              <w:bottom w:w="25" w:type="dxa"/>
              <w:right w:w="60" w:type="dxa"/>
            </w:tcMar>
          </w:tcPr>
          <w:p w14:paraId="2EB20A06" w14:textId="77777777" w:rsidR="006862E0" w:rsidRDefault="00000000">
            <w:pPr>
              <w:spacing w:before="8" w:after="8" w:line="208" w:lineRule="auto"/>
            </w:pPr>
            <w:r>
              <w:rPr>
                <w:b/>
                <w:bCs/>
                <w:sz w:val="20"/>
                <w:szCs w:val="20"/>
              </w:rPr>
              <w:t>A4</w:t>
            </w:r>
          </w:p>
        </w:tc>
        <w:tc>
          <w:tcPr>
            <w:tcW w:w="2285" w:type="dxa"/>
            <w:tcMar>
              <w:top w:w="25" w:type="dxa"/>
              <w:left w:w="60" w:type="dxa"/>
              <w:bottom w:w="25" w:type="dxa"/>
              <w:right w:w="60" w:type="dxa"/>
            </w:tcMar>
          </w:tcPr>
          <w:p w14:paraId="7F3744F1" w14:textId="77777777" w:rsidR="006862E0" w:rsidRDefault="00000000">
            <w:pPr>
              <w:spacing w:before="8" w:after="8" w:line="208" w:lineRule="auto"/>
            </w:pPr>
            <w:r>
              <w:rPr>
                <w:sz w:val="20"/>
                <w:szCs w:val="20"/>
              </w:rPr>
              <w:t>Site safety monitoring</w:t>
            </w:r>
          </w:p>
        </w:tc>
        <w:tc>
          <w:tcPr>
            <w:tcW w:w="4569" w:type="dxa"/>
            <w:tcMar>
              <w:top w:w="25" w:type="dxa"/>
              <w:left w:w="60" w:type="dxa"/>
              <w:bottom w:w="25" w:type="dxa"/>
              <w:right w:w="60" w:type="dxa"/>
            </w:tcMar>
          </w:tcPr>
          <w:p w14:paraId="065CDDAC" w14:textId="77777777" w:rsidR="006862E0" w:rsidRDefault="00000000">
            <w:pPr>
              <w:spacing w:before="8" w:after="8" w:line="208" w:lineRule="auto"/>
            </w:pPr>
            <w:r>
              <w:rPr>
                <w:sz w:val="20"/>
                <w:szCs w:val="20"/>
              </w:rPr>
              <w:t>Reads camera streams; writes PPE and exclusion zone events, and infers operator fatigue</w:t>
            </w:r>
          </w:p>
        </w:tc>
        <w:tc>
          <w:tcPr>
            <w:tcW w:w="5248" w:type="dxa"/>
            <w:tcMar>
              <w:top w:w="25" w:type="dxa"/>
              <w:left w:w="60" w:type="dxa"/>
              <w:bottom w:w="25" w:type="dxa"/>
              <w:right w:w="60" w:type="dxa"/>
            </w:tcMar>
          </w:tcPr>
          <w:p w14:paraId="33B0B660" w14:textId="77777777" w:rsidR="006862E0" w:rsidRDefault="00000000">
            <w:pPr>
              <w:spacing w:before="8" w:after="8" w:line="208" w:lineRule="auto"/>
            </w:pPr>
            <w:r>
              <w:rPr>
                <w:sz w:val="20"/>
                <w:szCs w:val="20"/>
              </w:rPr>
              <w:t>High risk under Annex III point 4(b), and the fatigue module raises a prohibition question under Article 5(1)(f), in force since 2 February 2025</w:t>
            </w:r>
          </w:p>
        </w:tc>
      </w:tr>
      <w:tr w:rsidR="006862E0" w14:paraId="62B0B831" w14:textId="77777777">
        <w:tblPrEx>
          <w:tblCellMar>
            <w:top w:w="0" w:type="dxa"/>
            <w:bottom w:w="0" w:type="dxa"/>
          </w:tblCellMar>
        </w:tblPrEx>
        <w:tc>
          <w:tcPr>
            <w:tcW w:w="858" w:type="dxa"/>
            <w:tcMar>
              <w:top w:w="25" w:type="dxa"/>
              <w:left w:w="60" w:type="dxa"/>
              <w:bottom w:w="25" w:type="dxa"/>
              <w:right w:w="60" w:type="dxa"/>
            </w:tcMar>
          </w:tcPr>
          <w:p w14:paraId="50E1C064" w14:textId="77777777" w:rsidR="006862E0" w:rsidRDefault="00000000">
            <w:pPr>
              <w:spacing w:before="8" w:after="8" w:line="208" w:lineRule="auto"/>
            </w:pPr>
            <w:r>
              <w:rPr>
                <w:b/>
                <w:bCs/>
                <w:sz w:val="20"/>
                <w:szCs w:val="20"/>
              </w:rPr>
              <w:t>A5</w:t>
            </w:r>
          </w:p>
        </w:tc>
        <w:tc>
          <w:tcPr>
            <w:tcW w:w="2285" w:type="dxa"/>
            <w:tcMar>
              <w:top w:w="25" w:type="dxa"/>
              <w:left w:w="60" w:type="dxa"/>
              <w:bottom w:w="25" w:type="dxa"/>
              <w:right w:w="60" w:type="dxa"/>
            </w:tcMar>
          </w:tcPr>
          <w:p w14:paraId="7F9E9856" w14:textId="77777777" w:rsidR="006862E0" w:rsidRDefault="00000000">
            <w:pPr>
              <w:spacing w:before="8" w:after="8" w:line="208" w:lineRule="auto"/>
            </w:pPr>
            <w:r>
              <w:rPr>
                <w:sz w:val="20"/>
                <w:szCs w:val="20"/>
              </w:rPr>
              <w:t>Schedule and cost forecasting</w:t>
            </w:r>
          </w:p>
        </w:tc>
        <w:tc>
          <w:tcPr>
            <w:tcW w:w="4569" w:type="dxa"/>
            <w:tcMar>
              <w:top w:w="25" w:type="dxa"/>
              <w:left w:w="60" w:type="dxa"/>
              <w:bottom w:w="25" w:type="dxa"/>
              <w:right w:w="60" w:type="dxa"/>
            </w:tcMar>
          </w:tcPr>
          <w:p w14:paraId="02471D8C" w14:textId="77777777" w:rsidR="006862E0" w:rsidRDefault="00000000">
            <w:pPr>
              <w:spacing w:before="8" w:after="8" w:line="208" w:lineRule="auto"/>
            </w:pPr>
            <w:r>
              <w:rPr>
                <w:sz w:val="20"/>
                <w:szCs w:val="20"/>
              </w:rPr>
              <w:t>Reads program and progress data; writes slippage forecasts and contingency advice</w:t>
            </w:r>
          </w:p>
        </w:tc>
        <w:tc>
          <w:tcPr>
            <w:tcW w:w="5248" w:type="dxa"/>
            <w:tcMar>
              <w:top w:w="25" w:type="dxa"/>
              <w:left w:w="60" w:type="dxa"/>
              <w:bottom w:w="25" w:type="dxa"/>
              <w:right w:w="60" w:type="dxa"/>
            </w:tcMar>
          </w:tcPr>
          <w:p w14:paraId="7D453289" w14:textId="77777777" w:rsidR="006862E0" w:rsidRDefault="00000000">
            <w:pPr>
              <w:spacing w:before="8" w:after="8" w:line="208" w:lineRule="auto"/>
            </w:pPr>
            <w:r>
              <w:rPr>
                <w:sz w:val="20"/>
                <w:szCs w:val="20"/>
              </w:rPr>
              <w:t>No law reviewed applies</w:t>
            </w:r>
          </w:p>
        </w:tc>
      </w:tr>
    </w:tbl>
    <w:p w14:paraId="30971B79" w14:textId="77777777" w:rsidR="00C65E12" w:rsidRDefault="00C65E12"/>
    <w:sectPr w:rsidR="00C65E12">
      <w:footerReference w:type="default" r:id="rId9"/>
      <w:pgSz w:w="15840" w:h="12240" w:orient="landscape"/>
      <w:pgMar w:top="1440" w:right="1440" w:bottom="1440" w:left="1440" w:header="708" w:footer="708" w:gutter="0"/>
      <w:lnNumType w:countBy="1" w:distance="360"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4F6643" w14:textId="77777777" w:rsidR="00C65E12" w:rsidRDefault="00C65E12">
      <w:r>
        <w:separator/>
      </w:r>
    </w:p>
  </w:endnote>
  <w:endnote w:type="continuationSeparator" w:id="0">
    <w:p w14:paraId="7CA26339" w14:textId="77777777" w:rsidR="00C65E12" w:rsidRDefault="00C65E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FED78" w14:textId="77777777" w:rsidR="006862E0" w:rsidRDefault="00000000">
    <w:pPr>
      <w:suppressLineNumbers/>
      <w:jc w:val="center"/>
    </w:pPr>
    <w:r>
      <w:rPr>
        <w:sz w:val="20"/>
        <w:szCs w:val="20"/>
      </w:rPr>
      <w:fldChar w:fldCharType="begin"/>
    </w:r>
    <w:r>
      <w:rPr>
        <w:sz w:val="20"/>
        <w:szCs w:val="20"/>
      </w:rPr>
      <w:instrText>PAGE</w:instrText>
    </w:r>
    <w:r>
      <w:rPr>
        <w:sz w:val="20"/>
        <w:szCs w:val="20"/>
      </w:rPr>
      <w:fldChar w:fldCharType="separate"/>
    </w:r>
    <w:r w:rsidR="009867E9">
      <w:rPr>
        <w:noProof/>
        <w:sz w:val="20"/>
        <w:szCs w:val="20"/>
      </w:rPr>
      <w:t>1</w:t>
    </w:r>
    <w:r>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34F9D" w14:textId="308BBFEB" w:rsidR="006862E0" w:rsidRDefault="00000000">
    <w:pPr>
      <w:suppressLineNumbers/>
      <w:jc w:val="center"/>
    </w:pPr>
    <w:r>
      <w:rPr>
        <w:sz w:val="20"/>
        <w:szCs w:val="20"/>
      </w:rPr>
      <w:fldChar w:fldCharType="begin"/>
    </w:r>
    <w:r>
      <w:rPr>
        <w:sz w:val="20"/>
        <w:szCs w:val="20"/>
      </w:rPr>
      <w:instrText>PAGE</w:instrText>
    </w:r>
    <w:r>
      <w:rPr>
        <w:sz w:val="20"/>
        <w:szCs w:val="20"/>
      </w:rPr>
      <w:fldChar w:fldCharType="separate"/>
    </w:r>
    <w:r w:rsidR="009867E9">
      <w:rPr>
        <w:noProof/>
        <w:sz w:val="20"/>
        <w:szCs w:val="20"/>
      </w:rPr>
      <w:t>30</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06A0EA" w14:textId="77777777" w:rsidR="00C65E12" w:rsidRDefault="00C65E12">
      <w:r>
        <w:separator/>
      </w:r>
    </w:p>
  </w:footnote>
  <w:footnote w:type="continuationSeparator" w:id="0">
    <w:p w14:paraId="573E8238" w14:textId="77777777" w:rsidR="00C65E12" w:rsidRDefault="00C65E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5435B3"/>
    <w:multiLevelType w:val="hybridMultilevel"/>
    <w:tmpl w:val="FA9CB7E8"/>
    <w:lvl w:ilvl="0" w:tplc="C1DC8754">
      <w:start w:val="1"/>
      <w:numFmt w:val="bullet"/>
      <w:lvlText w:val="●"/>
      <w:lvlJc w:val="left"/>
      <w:pPr>
        <w:ind w:left="720" w:hanging="360"/>
      </w:pPr>
    </w:lvl>
    <w:lvl w:ilvl="1" w:tplc="49C69DA6">
      <w:start w:val="1"/>
      <w:numFmt w:val="bullet"/>
      <w:lvlText w:val="○"/>
      <w:lvlJc w:val="left"/>
      <w:pPr>
        <w:ind w:left="1440" w:hanging="360"/>
      </w:pPr>
    </w:lvl>
    <w:lvl w:ilvl="2" w:tplc="63BA5ABE">
      <w:start w:val="1"/>
      <w:numFmt w:val="bullet"/>
      <w:lvlText w:val="■"/>
      <w:lvlJc w:val="left"/>
      <w:pPr>
        <w:ind w:left="2160" w:hanging="360"/>
      </w:pPr>
    </w:lvl>
    <w:lvl w:ilvl="3" w:tplc="89980BAE">
      <w:start w:val="1"/>
      <w:numFmt w:val="bullet"/>
      <w:lvlText w:val="●"/>
      <w:lvlJc w:val="left"/>
      <w:pPr>
        <w:ind w:left="2880" w:hanging="360"/>
      </w:pPr>
    </w:lvl>
    <w:lvl w:ilvl="4" w:tplc="7306510E">
      <w:start w:val="1"/>
      <w:numFmt w:val="bullet"/>
      <w:lvlText w:val="○"/>
      <w:lvlJc w:val="left"/>
      <w:pPr>
        <w:ind w:left="3600" w:hanging="360"/>
      </w:pPr>
    </w:lvl>
    <w:lvl w:ilvl="5" w:tplc="12A6B9EC">
      <w:start w:val="1"/>
      <w:numFmt w:val="bullet"/>
      <w:lvlText w:val="■"/>
      <w:lvlJc w:val="left"/>
      <w:pPr>
        <w:ind w:left="4320" w:hanging="360"/>
      </w:pPr>
    </w:lvl>
    <w:lvl w:ilvl="6" w:tplc="24CACE46">
      <w:start w:val="1"/>
      <w:numFmt w:val="bullet"/>
      <w:lvlText w:val="●"/>
      <w:lvlJc w:val="left"/>
      <w:pPr>
        <w:ind w:left="5040" w:hanging="360"/>
      </w:pPr>
    </w:lvl>
    <w:lvl w:ilvl="7" w:tplc="0EAA0C54">
      <w:start w:val="1"/>
      <w:numFmt w:val="bullet"/>
      <w:lvlText w:val="●"/>
      <w:lvlJc w:val="left"/>
      <w:pPr>
        <w:ind w:left="5760" w:hanging="360"/>
      </w:pPr>
    </w:lvl>
    <w:lvl w:ilvl="8" w:tplc="55FC268E">
      <w:start w:val="1"/>
      <w:numFmt w:val="bullet"/>
      <w:lvlText w:val="●"/>
      <w:lvlJc w:val="left"/>
      <w:pPr>
        <w:ind w:left="6480" w:hanging="360"/>
      </w:pPr>
    </w:lvl>
  </w:abstractNum>
  <w:num w:numId="1" w16cid:durableId="115352405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62E0"/>
    <w:rsid w:val="006862E0"/>
    <w:rsid w:val="007177AE"/>
    <w:rsid w:val="009867E9"/>
    <w:rsid w:val="009A64B3"/>
    <w:rsid w:val="009B2F9D"/>
    <w:rsid w:val="00AA2520"/>
    <w:rsid w:val="00BB38B5"/>
    <w:rsid w:val="00C65E12"/>
    <w:rsid w:val="00E209F4"/>
    <w:rsid w:val="00FD2D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48991"/>
  <w15:docId w15:val="{A94467B7-AD2D-4DB9-A25D-A6EFF8992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styleId="LineNumber">
    <w:name w:val="line number"/>
    <w:basedOn w:val="DefaultParagraphFont"/>
    <w:uiPriority w:val="99"/>
    <w:semiHidden/>
    <w:unhideWhenUsed/>
    <w:rsid w:val="009867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TotalTime>
  <Pages>30</Pages>
  <Words>7996</Words>
  <Characters>45582</Characters>
  <Application>Microsoft Office Word</Application>
  <DocSecurity>0</DocSecurity>
  <Lines>379</Lines>
  <Paragraphs>106</Paragraphs>
  <ScaleCrop>false</ScaleCrop>
  <Company>University of New Haven</Company>
  <LinksUpToDate>false</LinksUpToDate>
  <CharactersWithSpaces>53472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Artificial Intelligence on Construction Projects: Regulatory Position and Governance Gaps</dc:title>
  <dc:creator>Reihaneh Samsami</dc:creator>
  <cp:lastModifiedBy>Samsami, Reihaneh</cp:lastModifiedBy>
  <cp:revision>6</cp:revision>
  <dcterms:created xsi:type="dcterms:W3CDTF">2026-08-24T16:21:00Z</dcterms:created>
  <dcterms:modified xsi:type="dcterms:W3CDTF">2026-08-24T16:33:00Z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8c3cc9c-d660-41a9-8502-9ce659b5a1a4_Enabled">
    <vt:lpwstr>true</vt:lpwstr>
  </property>
  <property fmtid="{D5CDD505-2E9C-101B-9397-08002B2CF9AE}" pid="3" name="MSIP_Label_88c3cc9c-d660-41a9-8502-9ce659b5a1a4_SetDate">
    <vt:lpwstr>2026-08-24T16:19:46Z</vt:lpwstr>
  </property>
  <property fmtid="{D5CDD505-2E9C-101B-9397-08002B2CF9AE}" pid="4" name="MSIP_Label_88c3cc9c-d660-41a9-8502-9ce659b5a1a4_Method">
    <vt:lpwstr>Standard</vt:lpwstr>
  </property>
  <property fmtid="{D5CDD505-2E9C-101B-9397-08002B2CF9AE}" pid="5" name="MSIP_Label_88c3cc9c-d660-41a9-8502-9ce659b5a1a4_Name">
    <vt:lpwstr>defa4170-0d19-0005-0004-bc88714345d2</vt:lpwstr>
  </property>
  <property fmtid="{D5CDD505-2E9C-101B-9397-08002B2CF9AE}" pid="6" name="MSIP_Label_88c3cc9c-d660-41a9-8502-9ce659b5a1a4_SiteId">
    <vt:lpwstr>3c71cbab-b5ed-4f3b-ac0d-95509d6c0e93</vt:lpwstr>
  </property>
  <property fmtid="{D5CDD505-2E9C-101B-9397-08002B2CF9AE}" pid="7" name="MSIP_Label_88c3cc9c-d660-41a9-8502-9ce659b5a1a4_ActionId">
    <vt:lpwstr>fb0e7823-2334-4a88-82b1-3b08a671ef3c</vt:lpwstr>
  </property>
  <property fmtid="{D5CDD505-2E9C-101B-9397-08002B2CF9AE}" pid="8" name="MSIP_Label_88c3cc9c-d660-41a9-8502-9ce659b5a1a4_ContentBits">
    <vt:lpwstr>0</vt:lpwstr>
  </property>
  <property fmtid="{D5CDD505-2E9C-101B-9397-08002B2CF9AE}" pid="9" name="MSIP_Label_88c3cc9c-d660-41a9-8502-9ce659b5a1a4_Tag">
    <vt:lpwstr>10, 3, 0, 1</vt:lpwstr>
  </property>
</Properties>
</file>