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C90FA" w14:textId="4408AD27" w:rsidR="008A6EB8" w:rsidRPr="00E271E1" w:rsidRDefault="008A6EB8" w:rsidP="00807705">
      <w:pPr>
        <w:spacing w:line="276" w:lineRule="auto"/>
        <w:rPr>
          <w:rFonts w:cstheme="majorBidi"/>
          <w:b/>
          <w:bCs/>
          <w14:textOutline w14:w="0" w14:cap="rnd" w14:cmpd="sng" w14:algn="ctr">
            <w14:noFill/>
            <w14:prstDash w14:val="solid"/>
            <w14:bevel/>
          </w14:textOutline>
        </w:rPr>
      </w:pPr>
    </w:p>
    <w:p w14:paraId="379414A7" w14:textId="77777777" w:rsidR="00247AC5" w:rsidRPr="00E271E1" w:rsidRDefault="00247AC5" w:rsidP="00431DA3">
      <w:pPr>
        <w:spacing w:line="240" w:lineRule="auto"/>
        <w:rPr>
          <w:rFonts w:cstheme="majorBidi"/>
          <w:caps/>
        </w:rPr>
      </w:pPr>
    </w:p>
    <w:p w14:paraId="0D1D4F28" w14:textId="67E2C1ED" w:rsidR="00247AC5" w:rsidRPr="00E271E1" w:rsidRDefault="00247AC5" w:rsidP="00247AC5">
      <w:pPr>
        <w:spacing w:line="240" w:lineRule="auto"/>
        <w:jc w:val="center"/>
        <w:rPr>
          <w:rFonts w:eastAsia="Times New Roman" w:cstheme="majorBidi"/>
          <w:b/>
          <w:sz w:val="36"/>
          <w:szCs w:val="36"/>
        </w:rPr>
      </w:pPr>
    </w:p>
    <w:p w14:paraId="54EBEE2C" w14:textId="77777777" w:rsidR="00107F76" w:rsidRDefault="00107F76" w:rsidP="00FF5E24">
      <w:pPr>
        <w:spacing w:line="240" w:lineRule="auto"/>
        <w:jc w:val="center"/>
        <w:rPr>
          <w:rFonts w:eastAsia="Times New Roman" w:cstheme="majorBidi"/>
          <w:b/>
          <w:sz w:val="36"/>
          <w:szCs w:val="36"/>
        </w:rPr>
      </w:pPr>
    </w:p>
    <w:p w14:paraId="425E2D16" w14:textId="4D763BF6" w:rsidR="00431DA3" w:rsidRPr="00E271E1" w:rsidRDefault="00217E35" w:rsidP="00107F76">
      <w:pPr>
        <w:spacing w:line="240" w:lineRule="auto"/>
        <w:jc w:val="center"/>
        <w:rPr>
          <w:rFonts w:eastAsia="Times New Roman" w:cstheme="majorBidi"/>
          <w:b/>
          <w:sz w:val="36"/>
          <w:szCs w:val="36"/>
          <w14:textOutline w14:w="0" w14:cap="rnd" w14:cmpd="sng" w14:algn="ctr">
            <w14:noFill/>
            <w14:prstDash w14:val="solid"/>
            <w14:bevel/>
          </w14:textOutline>
        </w:rPr>
      </w:pPr>
      <w:r>
        <w:rPr>
          <w:rFonts w:eastAsia="Times New Roman" w:cstheme="majorBidi"/>
          <w:b/>
          <w:sz w:val="36"/>
          <w:szCs w:val="36"/>
        </w:rPr>
        <w:t xml:space="preserve">Development of </w:t>
      </w:r>
      <w:r w:rsidR="00107F76">
        <w:rPr>
          <w:rFonts w:eastAsia="Times New Roman" w:cstheme="majorBidi"/>
          <w:b/>
          <w:sz w:val="36"/>
          <w:szCs w:val="36"/>
        </w:rPr>
        <w:t>n</w:t>
      </w:r>
      <w:r>
        <w:rPr>
          <w:rFonts w:eastAsia="Times New Roman" w:cstheme="majorBidi"/>
          <w:b/>
          <w:sz w:val="36"/>
          <w:szCs w:val="36"/>
        </w:rPr>
        <w:t xml:space="preserve">otional </w:t>
      </w:r>
      <w:r w:rsidR="00107F76">
        <w:rPr>
          <w:rFonts w:eastAsia="Times New Roman" w:cstheme="majorBidi"/>
          <w:b/>
          <w:sz w:val="36"/>
          <w:szCs w:val="36"/>
        </w:rPr>
        <w:t xml:space="preserve">bridges </w:t>
      </w:r>
      <w:r>
        <w:rPr>
          <w:rFonts w:eastAsia="Times New Roman" w:cstheme="majorBidi"/>
          <w:b/>
          <w:sz w:val="36"/>
          <w:szCs w:val="36"/>
        </w:rPr>
        <w:t xml:space="preserve">for the </w:t>
      </w:r>
      <w:r w:rsidR="00107F76">
        <w:rPr>
          <w:rFonts w:eastAsia="Times New Roman" w:cstheme="majorBidi"/>
          <w:b/>
          <w:sz w:val="36"/>
          <w:szCs w:val="36"/>
        </w:rPr>
        <w:t>r</w:t>
      </w:r>
      <w:r>
        <w:rPr>
          <w:rFonts w:eastAsia="Times New Roman" w:cstheme="majorBidi"/>
          <w:b/>
          <w:sz w:val="36"/>
          <w:szCs w:val="36"/>
        </w:rPr>
        <w:t xml:space="preserve">edundancy </w:t>
      </w:r>
      <w:r w:rsidR="00107F76">
        <w:rPr>
          <w:rFonts w:eastAsia="Times New Roman" w:cstheme="majorBidi"/>
          <w:b/>
          <w:sz w:val="36"/>
          <w:szCs w:val="36"/>
        </w:rPr>
        <w:t>e</w:t>
      </w:r>
      <w:r>
        <w:rPr>
          <w:rFonts w:eastAsia="Times New Roman" w:cstheme="majorBidi"/>
          <w:b/>
          <w:sz w:val="36"/>
          <w:szCs w:val="36"/>
        </w:rPr>
        <w:t xml:space="preserve">valuation </w:t>
      </w:r>
      <w:r w:rsidR="00107F76">
        <w:rPr>
          <w:rFonts w:eastAsia="Times New Roman" w:cstheme="majorBidi"/>
          <w:b/>
          <w:sz w:val="36"/>
          <w:szCs w:val="36"/>
        </w:rPr>
        <w:t>of two steel box g</w:t>
      </w:r>
      <w:r w:rsidR="00107F76" w:rsidRPr="00FF5E24">
        <w:rPr>
          <w:rFonts w:eastAsia="Times New Roman" w:cstheme="majorBidi"/>
          <w:b/>
          <w:sz w:val="36"/>
          <w:szCs w:val="36"/>
        </w:rPr>
        <w:t xml:space="preserve">irder </w:t>
      </w:r>
      <w:r w:rsidR="00107F76">
        <w:rPr>
          <w:rFonts w:eastAsia="Times New Roman" w:cstheme="majorBidi"/>
          <w:b/>
          <w:sz w:val="36"/>
          <w:szCs w:val="36"/>
        </w:rPr>
        <w:t>bridges</w:t>
      </w:r>
    </w:p>
    <w:p w14:paraId="166FC980" w14:textId="37C8B01C" w:rsidR="00DF5A02" w:rsidRPr="00E271E1" w:rsidRDefault="00DF5A02" w:rsidP="00DF5A02">
      <w:pPr>
        <w:spacing w:line="276" w:lineRule="auto"/>
        <w:jc w:val="center"/>
        <w:rPr>
          <w:rFonts w:cstheme="majorBidi"/>
        </w:rPr>
      </w:pPr>
    </w:p>
    <w:p w14:paraId="1F8813ED" w14:textId="27E0192B" w:rsidR="000479EB" w:rsidRPr="00DF5A02" w:rsidRDefault="008A6EB8" w:rsidP="00DF5A02">
      <w:pPr>
        <w:spacing w:line="276" w:lineRule="auto"/>
        <w:jc w:val="center"/>
        <w:rPr>
          <w:rFonts w:cstheme="majorBidi"/>
          <w:b/>
        </w:rPr>
      </w:pPr>
      <w:r w:rsidRPr="00DF5A02">
        <w:rPr>
          <w:rFonts w:cstheme="majorBidi"/>
          <w:b/>
          <w:noProof/>
        </w:rPr>
        <w:drawing>
          <wp:anchor distT="0" distB="0" distL="114300" distR="114300" simplePos="0" relativeHeight="251658240" behindDoc="1" locked="0" layoutInCell="1" allowOverlap="1" wp14:anchorId="017CEAC3" wp14:editId="0CE6FC58">
            <wp:simplePos x="0" y="0"/>
            <wp:positionH relativeFrom="column">
              <wp:posOffset>-30480</wp:posOffset>
            </wp:positionH>
            <wp:positionV relativeFrom="paragraph">
              <wp:posOffset>50800</wp:posOffset>
            </wp:positionV>
            <wp:extent cx="1604010" cy="16040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4010" cy="1604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70FA">
        <w:rPr>
          <w:rFonts w:cstheme="majorBidi"/>
          <w:b/>
        </w:rPr>
        <w:t>Internal Communication</w:t>
      </w:r>
      <w:r w:rsidR="00DF5A02" w:rsidRPr="00DF5A02">
        <w:rPr>
          <w:rFonts w:cstheme="majorBidi"/>
          <w:b/>
        </w:rPr>
        <w:t xml:space="preserve"> Report</w:t>
      </w:r>
    </w:p>
    <w:p w14:paraId="42A29327" w14:textId="77777777" w:rsidR="00DF5A02" w:rsidRDefault="00DF5A02" w:rsidP="004B5278">
      <w:pPr>
        <w:spacing w:line="276" w:lineRule="auto"/>
        <w:jc w:val="center"/>
        <w:rPr>
          <w:rFonts w:cstheme="majorBidi"/>
        </w:rPr>
      </w:pPr>
    </w:p>
    <w:p w14:paraId="3E503DCD" w14:textId="77777777" w:rsidR="00DF5A02" w:rsidRDefault="00DF5A02" w:rsidP="004B5278">
      <w:pPr>
        <w:spacing w:line="276" w:lineRule="auto"/>
        <w:jc w:val="center"/>
        <w:rPr>
          <w:rFonts w:cstheme="majorBidi"/>
        </w:rPr>
      </w:pPr>
    </w:p>
    <w:p w14:paraId="4360D26B" w14:textId="71F42584" w:rsidR="004B5278" w:rsidRPr="00E271E1" w:rsidRDefault="004B5278" w:rsidP="004B5278">
      <w:pPr>
        <w:spacing w:line="276" w:lineRule="auto"/>
        <w:jc w:val="center"/>
        <w:rPr>
          <w:rFonts w:cstheme="majorBidi"/>
        </w:rPr>
      </w:pPr>
      <w:r w:rsidRPr="00E271E1">
        <w:rPr>
          <w:rFonts w:cstheme="majorBidi"/>
        </w:rPr>
        <w:t>Mohammad Abedin</w:t>
      </w:r>
    </w:p>
    <w:p w14:paraId="75AAE3FA" w14:textId="12FE5DCA" w:rsidR="00E04431" w:rsidRPr="00E271E1" w:rsidRDefault="00431DA3" w:rsidP="004B5278">
      <w:pPr>
        <w:spacing w:line="276" w:lineRule="auto"/>
        <w:jc w:val="center"/>
        <w:rPr>
          <w:rFonts w:cstheme="majorBidi"/>
        </w:rPr>
      </w:pPr>
      <w:r w:rsidRPr="00E271E1">
        <w:rPr>
          <w:rFonts w:cstheme="majorBidi"/>
        </w:rPr>
        <w:t>Armin Mehrabi</w:t>
      </w:r>
    </w:p>
    <w:p w14:paraId="3C889F59" w14:textId="13F136EB" w:rsidR="00E04431" w:rsidRPr="00E271E1" w:rsidRDefault="00431DA3" w:rsidP="004B5278">
      <w:pPr>
        <w:spacing w:line="276" w:lineRule="auto"/>
        <w:jc w:val="center"/>
        <w:rPr>
          <w:rFonts w:cstheme="majorBidi"/>
        </w:rPr>
      </w:pPr>
      <w:bookmarkStart w:id="0" w:name="_GoBack"/>
      <w:bookmarkEnd w:id="0"/>
      <w:r w:rsidRPr="00E271E1">
        <w:rPr>
          <w:rFonts w:cstheme="majorBidi"/>
        </w:rPr>
        <w:t>Atorod Azizinamini</w:t>
      </w:r>
    </w:p>
    <w:p w14:paraId="3ED4F11E" w14:textId="0A32DB7A" w:rsidR="008A6EB8" w:rsidRPr="00E271E1" w:rsidRDefault="008A6EB8" w:rsidP="004B5278">
      <w:pPr>
        <w:spacing w:line="276" w:lineRule="auto"/>
        <w:jc w:val="center"/>
        <w:rPr>
          <w:rFonts w:cstheme="majorBidi"/>
        </w:rPr>
      </w:pPr>
    </w:p>
    <w:p w14:paraId="5C1A870C" w14:textId="00BBCC40" w:rsidR="008A6EB8" w:rsidRPr="00E271E1" w:rsidRDefault="008A6EB8" w:rsidP="004B5278">
      <w:pPr>
        <w:spacing w:line="276" w:lineRule="auto"/>
        <w:jc w:val="center"/>
        <w:rPr>
          <w:rFonts w:cstheme="majorBidi"/>
        </w:rPr>
      </w:pPr>
    </w:p>
    <w:p w14:paraId="7C1D8B12" w14:textId="77777777" w:rsidR="00CA29BA" w:rsidRPr="00E271E1" w:rsidRDefault="00CA29BA" w:rsidP="004B5278">
      <w:pPr>
        <w:spacing w:line="276" w:lineRule="auto"/>
        <w:jc w:val="center"/>
        <w:rPr>
          <w:rFonts w:cstheme="majorBidi"/>
        </w:rPr>
      </w:pPr>
    </w:p>
    <w:p w14:paraId="2DB4AADC" w14:textId="1282DAC2" w:rsidR="004B5278" w:rsidRPr="00E271E1" w:rsidRDefault="004B5278" w:rsidP="004B5278">
      <w:pPr>
        <w:spacing w:line="276" w:lineRule="auto"/>
        <w:jc w:val="center"/>
        <w:rPr>
          <w:rFonts w:cstheme="majorBidi"/>
          <w:b/>
        </w:rPr>
      </w:pPr>
      <w:r w:rsidRPr="00E271E1">
        <w:rPr>
          <w:rFonts w:cstheme="majorBidi"/>
          <w:b/>
        </w:rPr>
        <w:t>Department of Civil and Environmental Engineering</w:t>
      </w:r>
    </w:p>
    <w:p w14:paraId="410EF089" w14:textId="4E2C2DA5" w:rsidR="004B5278" w:rsidRPr="00E271E1" w:rsidRDefault="004B5278" w:rsidP="004B5278">
      <w:pPr>
        <w:spacing w:line="276" w:lineRule="auto"/>
        <w:jc w:val="center"/>
        <w:rPr>
          <w:rFonts w:cstheme="majorBidi"/>
          <w:b/>
        </w:rPr>
      </w:pPr>
      <w:r w:rsidRPr="00E271E1">
        <w:rPr>
          <w:rFonts w:cstheme="majorBidi"/>
          <w:b/>
        </w:rPr>
        <w:t>Florida International University</w:t>
      </w:r>
    </w:p>
    <w:p w14:paraId="0FDFF1A7" w14:textId="746F7267" w:rsidR="004B5278" w:rsidRPr="00E271E1" w:rsidRDefault="004B5278" w:rsidP="004B5278">
      <w:pPr>
        <w:spacing w:line="276" w:lineRule="auto"/>
        <w:jc w:val="center"/>
        <w:rPr>
          <w:rFonts w:cstheme="majorBidi"/>
        </w:rPr>
      </w:pPr>
      <w:r w:rsidRPr="00E271E1">
        <w:rPr>
          <w:rFonts w:cstheme="majorBidi"/>
          <w:b/>
        </w:rPr>
        <w:t>Miami, Florida</w:t>
      </w:r>
    </w:p>
    <w:p w14:paraId="407CEF32" w14:textId="50A78379" w:rsidR="004B5278" w:rsidRPr="00E271E1" w:rsidRDefault="004B5278" w:rsidP="000479EB">
      <w:pPr>
        <w:spacing w:line="276" w:lineRule="auto"/>
        <w:rPr>
          <w:rFonts w:cstheme="majorBidi"/>
        </w:rPr>
      </w:pPr>
    </w:p>
    <w:p w14:paraId="456B8D40" w14:textId="77777777" w:rsidR="008A65FA" w:rsidRPr="00E271E1" w:rsidRDefault="008A65FA" w:rsidP="000479EB">
      <w:pPr>
        <w:spacing w:line="276" w:lineRule="auto"/>
        <w:rPr>
          <w:rFonts w:cstheme="majorBidi"/>
        </w:rPr>
      </w:pPr>
    </w:p>
    <w:p w14:paraId="1D62A8F8" w14:textId="1854B475" w:rsidR="00B87009" w:rsidRDefault="00B87009" w:rsidP="000479EB">
      <w:pPr>
        <w:spacing w:line="276" w:lineRule="auto"/>
        <w:rPr>
          <w:rFonts w:cstheme="majorBidi"/>
        </w:rPr>
      </w:pPr>
    </w:p>
    <w:p w14:paraId="049B9FD5" w14:textId="464C7D75" w:rsidR="00BC77B1" w:rsidRDefault="00BC77B1" w:rsidP="000479EB">
      <w:pPr>
        <w:spacing w:line="276" w:lineRule="auto"/>
        <w:rPr>
          <w:rFonts w:cstheme="majorBidi"/>
        </w:rPr>
      </w:pPr>
    </w:p>
    <w:p w14:paraId="7F75C68B" w14:textId="644EC8EA" w:rsidR="00BC77B1" w:rsidRDefault="00BC77B1" w:rsidP="000479EB">
      <w:pPr>
        <w:spacing w:line="276" w:lineRule="auto"/>
        <w:rPr>
          <w:rFonts w:cstheme="majorBidi"/>
        </w:rPr>
      </w:pPr>
    </w:p>
    <w:p w14:paraId="23E4F118" w14:textId="452361D8" w:rsidR="00BC77B1" w:rsidRDefault="00BC77B1" w:rsidP="000479EB">
      <w:pPr>
        <w:spacing w:line="276" w:lineRule="auto"/>
        <w:rPr>
          <w:rFonts w:cstheme="majorBidi"/>
        </w:rPr>
      </w:pPr>
    </w:p>
    <w:p w14:paraId="61408A74" w14:textId="37E8B8CE" w:rsidR="00BC77B1" w:rsidRDefault="00BC77B1" w:rsidP="000479EB">
      <w:pPr>
        <w:spacing w:line="276" w:lineRule="auto"/>
        <w:rPr>
          <w:rFonts w:cstheme="majorBidi"/>
        </w:rPr>
      </w:pPr>
    </w:p>
    <w:p w14:paraId="7606801D" w14:textId="3A88245E" w:rsidR="00BC77B1" w:rsidRDefault="00BC77B1" w:rsidP="000479EB">
      <w:pPr>
        <w:spacing w:line="276" w:lineRule="auto"/>
        <w:rPr>
          <w:rFonts w:cstheme="majorBidi"/>
        </w:rPr>
      </w:pPr>
    </w:p>
    <w:p w14:paraId="291DDFBB" w14:textId="46DE9CB5" w:rsidR="00BC77B1" w:rsidRPr="00E271E1" w:rsidRDefault="00BC77B1" w:rsidP="000479EB">
      <w:pPr>
        <w:spacing w:line="276" w:lineRule="auto"/>
        <w:rPr>
          <w:rFonts w:cstheme="majorBidi"/>
        </w:rPr>
      </w:pPr>
    </w:p>
    <w:p w14:paraId="63E6B85A" w14:textId="4C639064" w:rsidR="00B87009" w:rsidRPr="00E271E1" w:rsidRDefault="00B87009" w:rsidP="000479EB">
      <w:pPr>
        <w:spacing w:line="276" w:lineRule="auto"/>
        <w:rPr>
          <w:rFonts w:cstheme="majorBidi"/>
        </w:rPr>
      </w:pPr>
    </w:p>
    <w:p w14:paraId="22A72379" w14:textId="77777777" w:rsidR="008A6EB8" w:rsidRPr="00E271E1" w:rsidRDefault="008A6EB8" w:rsidP="000479EB">
      <w:pPr>
        <w:spacing w:line="276" w:lineRule="auto"/>
        <w:rPr>
          <w:rFonts w:cstheme="majorBidi"/>
        </w:rPr>
      </w:pPr>
    </w:p>
    <w:p w14:paraId="5610382D" w14:textId="146B724B" w:rsidR="008A6EB8" w:rsidRPr="00E271E1" w:rsidRDefault="008A6EB8" w:rsidP="000479EB">
      <w:pPr>
        <w:spacing w:line="276" w:lineRule="auto"/>
        <w:rPr>
          <w:rFonts w:cstheme="majorBidi"/>
        </w:rPr>
      </w:pPr>
    </w:p>
    <w:p w14:paraId="790C752B" w14:textId="77777777" w:rsidR="008A6EB8" w:rsidRPr="00E271E1" w:rsidRDefault="008A6EB8" w:rsidP="000479EB">
      <w:pPr>
        <w:spacing w:line="276" w:lineRule="auto"/>
        <w:rPr>
          <w:rFonts w:cstheme="majorBidi"/>
        </w:rPr>
      </w:pPr>
    </w:p>
    <w:p w14:paraId="38CC12CD" w14:textId="77777777" w:rsidR="004B5278" w:rsidRPr="00E271E1" w:rsidRDefault="004B5278" w:rsidP="000479EB">
      <w:pPr>
        <w:spacing w:line="276" w:lineRule="auto"/>
        <w:rPr>
          <w:rFonts w:cstheme="majorBidi"/>
        </w:rPr>
      </w:pPr>
    </w:p>
    <w:p w14:paraId="253B5353" w14:textId="1325FE2E" w:rsidR="00B87009" w:rsidRPr="00E271E1" w:rsidRDefault="004B5278" w:rsidP="004B5278">
      <w:pPr>
        <w:spacing w:line="276" w:lineRule="auto"/>
        <w:jc w:val="center"/>
        <w:rPr>
          <w:rFonts w:cstheme="majorBidi"/>
        </w:rPr>
      </w:pPr>
      <w:r w:rsidRPr="00E271E1">
        <w:rPr>
          <w:rFonts w:cstheme="majorBidi"/>
        </w:rPr>
        <w:t>Sponsored by</w:t>
      </w:r>
    </w:p>
    <w:p w14:paraId="0EB59CED" w14:textId="7267748E" w:rsidR="004B5278" w:rsidRPr="00E271E1" w:rsidRDefault="004B5278" w:rsidP="004B5278">
      <w:pPr>
        <w:spacing w:line="276" w:lineRule="auto"/>
        <w:jc w:val="center"/>
        <w:rPr>
          <w:rFonts w:cstheme="majorBidi"/>
          <w:b/>
        </w:rPr>
      </w:pPr>
      <w:r w:rsidRPr="00E271E1">
        <w:rPr>
          <w:rFonts w:cstheme="majorBidi"/>
          <w:b/>
        </w:rPr>
        <w:t>Florida Department of Transportation</w:t>
      </w:r>
    </w:p>
    <w:p w14:paraId="05EF4F79" w14:textId="48C87DF1" w:rsidR="004B5278" w:rsidRPr="00E271E1" w:rsidRDefault="004B5278" w:rsidP="000479EB">
      <w:pPr>
        <w:spacing w:line="276" w:lineRule="auto"/>
        <w:rPr>
          <w:rFonts w:cstheme="majorBidi"/>
        </w:rPr>
      </w:pPr>
    </w:p>
    <w:p w14:paraId="4E946E1A" w14:textId="4747EBEA" w:rsidR="004B5278" w:rsidRPr="00E271E1" w:rsidRDefault="004B5278" w:rsidP="000479EB">
      <w:pPr>
        <w:spacing w:line="276" w:lineRule="auto"/>
        <w:rPr>
          <w:rFonts w:cstheme="majorBidi"/>
        </w:rPr>
      </w:pPr>
    </w:p>
    <w:p w14:paraId="2D325A7B" w14:textId="77777777" w:rsidR="008A6EB8" w:rsidRPr="00E271E1" w:rsidRDefault="008A6EB8" w:rsidP="000479EB">
      <w:pPr>
        <w:spacing w:line="276" w:lineRule="auto"/>
        <w:rPr>
          <w:rFonts w:cstheme="majorBidi"/>
        </w:rPr>
      </w:pPr>
    </w:p>
    <w:p w14:paraId="5A1668FC" w14:textId="28A0FEDE" w:rsidR="009C69BD" w:rsidRPr="00E271E1" w:rsidRDefault="001E16CA" w:rsidP="00BC77B1">
      <w:pPr>
        <w:spacing w:line="276" w:lineRule="auto"/>
        <w:jc w:val="center"/>
        <w:rPr>
          <w:rFonts w:cstheme="majorBidi"/>
        </w:rPr>
      </w:pPr>
      <w:r>
        <w:rPr>
          <w:rFonts w:cstheme="majorBidi"/>
        </w:rPr>
        <w:t>January 2020</w:t>
      </w:r>
    </w:p>
    <w:p w14:paraId="651741B6" w14:textId="1C364A04" w:rsidR="004B5278" w:rsidRPr="00E271E1" w:rsidRDefault="009C69BD" w:rsidP="009C69BD">
      <w:pPr>
        <w:spacing w:line="276" w:lineRule="auto"/>
        <w:jc w:val="center"/>
        <w:rPr>
          <w:rFonts w:cstheme="majorBidi"/>
          <w:b/>
          <w:sz w:val="28"/>
          <w:szCs w:val="28"/>
        </w:rPr>
      </w:pPr>
      <w:r w:rsidRPr="00E271E1">
        <w:rPr>
          <w:rFonts w:cstheme="majorBidi"/>
          <w:b/>
          <w:sz w:val="28"/>
          <w:szCs w:val="28"/>
        </w:rPr>
        <w:lastRenderedPageBreak/>
        <w:t>Disclaimer</w:t>
      </w:r>
    </w:p>
    <w:p w14:paraId="5AFF0879" w14:textId="439A3C25" w:rsidR="0009235E" w:rsidRDefault="009C69BD" w:rsidP="0009235E">
      <w:pPr>
        <w:autoSpaceDE w:val="0"/>
        <w:autoSpaceDN w:val="0"/>
        <w:adjustRightInd w:val="0"/>
        <w:spacing w:before="240" w:line="240" w:lineRule="auto"/>
        <w:rPr>
          <w:rFonts w:cstheme="majorBidi"/>
        </w:rPr>
        <w:sectPr w:rsidR="0009235E" w:rsidSect="00D63900">
          <w:footerReference w:type="default" r:id="rId9"/>
          <w:pgSz w:w="12240" w:h="15840"/>
          <w:pgMar w:top="1440" w:right="1440" w:bottom="1440" w:left="1440" w:header="720" w:footer="720" w:gutter="0"/>
          <w:pgNumType w:fmt="upperRoman" w:start="1"/>
          <w:cols w:space="720"/>
          <w:docGrid w:linePitch="360"/>
        </w:sectPr>
      </w:pPr>
      <w:r w:rsidRPr="00E271E1">
        <w:rPr>
          <w:rFonts w:cstheme="majorBidi"/>
          <w14:textOutline w14:w="0" w14:cap="rnd" w14:cmpd="sng" w14:algn="ctr">
            <w14:noFill/>
            <w14:prstDash w14:val="solid"/>
            <w14:bevel/>
          </w14:textOutline>
        </w:rPr>
        <w:t>The opinions, findings, and conclusions expressed in this publication are those of the authors and not necessarily those of the Flori</w:t>
      </w:r>
      <w:r w:rsidR="00BC77B1">
        <w:rPr>
          <w:rFonts w:cstheme="majorBidi"/>
          <w14:textOutline w14:w="0" w14:cap="rnd" w14:cmpd="sng" w14:algn="ctr">
            <w14:noFill/>
            <w14:prstDash w14:val="solid"/>
            <w14:bevel/>
          </w14:textOutline>
        </w:rPr>
        <w:t>da Department of Transportation.</w:t>
      </w:r>
    </w:p>
    <w:p w14:paraId="07BB41FB" w14:textId="0497BF44" w:rsidR="000479EB" w:rsidRPr="00DB1E32" w:rsidRDefault="00B61E15" w:rsidP="00DB1E32">
      <w:pPr>
        <w:pStyle w:val="Heading1"/>
      </w:pPr>
      <w:bookmarkStart w:id="1" w:name="_Toc7519830"/>
      <w:r w:rsidRPr="00E271E1">
        <w:lastRenderedPageBreak/>
        <w:t>BACKGROUND STATEMENT</w:t>
      </w:r>
      <w:bookmarkEnd w:id="1"/>
    </w:p>
    <w:p w14:paraId="1882F02F" w14:textId="521B4C5C" w:rsidR="0083503C" w:rsidRDefault="0083503C" w:rsidP="0030774B">
      <w:pPr>
        <w:spacing w:line="276" w:lineRule="auto"/>
        <w:jc w:val="both"/>
        <w:rPr>
          <w:rFonts w:cstheme="majorBidi"/>
        </w:rPr>
      </w:pPr>
    </w:p>
    <w:p w14:paraId="7C4D44E1" w14:textId="36A0055F" w:rsidR="0030774B" w:rsidRDefault="0030774B" w:rsidP="00860308">
      <w:pPr>
        <w:spacing w:line="276" w:lineRule="auto"/>
        <w:jc w:val="both"/>
        <w:rPr>
          <w:rFonts w:cstheme="majorBidi"/>
        </w:rPr>
      </w:pPr>
      <w:r w:rsidRPr="00EF6465">
        <w:rPr>
          <w:rFonts w:cstheme="majorBidi"/>
        </w:rPr>
        <w:t xml:space="preserve">Onset and progression of damage in bridges of various types are not always visually detectable.  There have been instances that hidden damages </w:t>
      </w:r>
      <w:r w:rsidR="0009546B">
        <w:rPr>
          <w:rFonts w:cstheme="majorBidi"/>
        </w:rPr>
        <w:t xml:space="preserve">in structural members such as girders, bracing and bridge deck </w:t>
      </w:r>
      <w:r w:rsidRPr="00EF6465">
        <w:rPr>
          <w:rFonts w:cstheme="majorBidi"/>
        </w:rPr>
        <w:t>have caused catastrophic collapses costing life and money</w:t>
      </w:r>
      <w:r w:rsidR="0009546B">
        <w:rPr>
          <w:rFonts w:cstheme="majorBidi"/>
        </w:rPr>
        <w:t xml:space="preserve"> </w:t>
      </w:r>
      <w:r w:rsidR="0009546B">
        <w:rPr>
          <w:rFonts w:cstheme="majorBidi"/>
        </w:rPr>
        <w:fldChar w:fldCharType="begin" w:fldLock="1"/>
      </w:r>
      <w:r w:rsidR="00860308">
        <w:rPr>
          <w:rFonts w:cstheme="majorBidi"/>
        </w:rPr>
        <w:instrText>ADDIN CSL_CITATION {"citationItems":[{"id":"ITEM-1","itemData":{"DOI":"10.1155/2019/8041767","ISSN":"16878094","abstract":"The shear lag phenomenon is known to reduce the tensile capacity of tension members. There are various parameters affecting shear lag that have not been considered before. In addition, previous studies have been conducted mainly on single steel sections. Using numerical methods, the present study investigates the effects of relevant parameters on shear lag in single- and double-angle sections welded at both legs. The studied parameters are connection eccentricity, connection length, gusset plate thickness, member-free length, and connection-free length. The results of the numerical analyses show that, in single-angle connections, the effects of connection length, connection eccentricity, and gusset plate thickness are more pronounced, while in double-angle connections the last parameter is not very critical. Comparing the results with the AISC-LRFD predictions, it is concluded that the specification relations are conservative in most cases. In order to reduce the overconservatism, some new equations for shear lag estimate are introduced.","author":[{"dropping-particle":"","family":"Abedin","given":"Mohammad","non-dropping-particle":"","parse-names":false,"suffix":""},{"dropping-particle":"","family":"Maleki","given":"Shervin","non-dropping-particle":"","parse-names":false,"suffix":""},{"dropping-particle":"","family":"Kiani","given":"Nafiseh","non-dropping-particle":"","parse-names":false,"suffix":""},{"dropping-particle":"","family":"Shahrokhinasab","given":"Esmail","non-dropping-particle":"","parse-names":false,"suffix":""}],"container-title":"Advances in Civil Engineering","id":"ITEM-1","issued":{"date-parts":[["2019"]]},"publisher":"Hindawi Limited","title":"Shear lag effects in angles welded at both legs","type":"article-journal","volume":"2019"},"uris":["http://www.mendeley.com/documents/?uuid=31847f44-efa2-3106-ad72-4b50ea3a8e67"]},{"id":"ITEM-2","itemData":{"DOI":"10.1155/2019/1296248","ISSN":"16878094","abstract":"Concrete exposed to hot climatic conditions is prone to plastic shrinkage after casting within the first few hours due to the water evaporation and restraining conditions of concrete. This cracking is more commonly observed in concrete elements with a large surface area exposed to drying. In this research, plastic shrinkage of 13 self-compacting concrete samples with different cement paste volumes and various coarse to total aggregate ratios was studied. Test specimens of fresh concrete were subjected to a wind tunnel, which simulated hot dry environmental condition immediately after casting. It can be observed from the test results that the relationship between free plastic shrinkage and the difference between bleeding and evaporation is direct and linear. Finally, a model for plastic shrinkage estimation was suggested by considering the effect of free plastic shrinkage strain, restraining factor, and tensile strain capacity of self-compacting concrete.","author":[{"dropping-particle":"","family":"Ghoddousi","given":"Parviz","non-dropping-particle":"","parse-names":false,"suffix":""},{"dropping-particle":"","family":"Abbasi","given":"Armin Monir","non-dropping-particle":"","parse-names":false,"suffix":""},{"dropping-particle":"","family":"Shahrokhinasab","given":"Esmail","non-dropping-particle":"","parse-names":false,"suffix":""},{"dropping-particle":"","family":"Abedin","given":"Mohammad","non-dropping-particle":"","parse-names":false,"suffix":""}],"container-title":"Advances in Civil Engineering","id":"ITEM-2","issued":{"date-parts":[["2019"]]},"publisher":"Hindawi Limited","title":"Prediction of Plastic Shrinkage Cracking of Self-Compacting Concrete","type":"article-journal","volume":"2019"},"uris":["http://www.mendeley.com/documents/?uuid=c350fcc1-bc40-3394-8852-2e62831731b2"]}],"mendeley":{"formattedCitation":"(Abedin et al. 2019b; Ghoddousi et al. 2019)","plainTextFormattedCitation":"(Abedin et al. 2019b; Ghoddousi et al. 2019)","previouslyFormattedCitation":"(Abedin &lt;i&gt;et al.&lt;/i&gt;, 2019; Ghoddousi &lt;i&gt;et al.&lt;/i&gt;, 2019)"},"properties":{"noteIndex":0},"schema":"https://github.com/citation-style-language/schema/raw/master/csl-citation.json"}</w:instrText>
      </w:r>
      <w:r w:rsidR="0009546B">
        <w:rPr>
          <w:rFonts w:cstheme="majorBidi"/>
        </w:rPr>
        <w:fldChar w:fldCharType="separate"/>
      </w:r>
      <w:r w:rsidR="00860308" w:rsidRPr="00860308">
        <w:rPr>
          <w:rFonts w:cstheme="majorBidi"/>
          <w:noProof/>
        </w:rPr>
        <w:t>(Abedin et al. 2019b; Ghoddousi et al. 2019)</w:t>
      </w:r>
      <w:r w:rsidR="0009546B">
        <w:rPr>
          <w:rFonts w:cstheme="majorBidi"/>
        </w:rPr>
        <w:fldChar w:fldCharType="end"/>
      </w:r>
      <w:r w:rsidRPr="00EF6465">
        <w:rPr>
          <w:rFonts w:cstheme="majorBidi"/>
        </w:rPr>
        <w:t>.  Steel bridges with fracture critical elements and cable-supported/post-tensioned bridges are among vivid examples of such cases. The failure of the Silver Bridge in Ohio in 1967, Collapse of I-35 W bridge over Mississippi River in 2007, pedestrian bridge collapse over a congested road in Miami, FL, in 2018, closure of I-526 Bridge over Wando River due to rupture of post-tensioning tendons and closure of Chicago's Lake Shore Drive Bridge due to cracks in structural steel support girders are examples that could be prevented if the onset and progress of damages could be detected early</w:t>
      </w:r>
      <w:r w:rsidR="00C36C26">
        <w:rPr>
          <w:rFonts w:cstheme="majorBidi"/>
        </w:rPr>
        <w:fldChar w:fldCharType="begin" w:fldLock="1"/>
      </w:r>
      <w:r w:rsidR="00860308">
        <w:rPr>
          <w:rFonts w:cstheme="majorBidi"/>
        </w:rPr>
        <w:instrText>ADDIN CSL_CITATION {"citationItems":[{"id":"ITEM-1","itemData":{"DOI":"10.3390/infrastructures4030042","author":[{"dropping-particle":"","family":"Abedin","given":"Mohammad","non-dropping-particle":"","parse-names":false,"suffix":""},{"dropping-particle":"","family":"Mehrabi","given":"Armin B.","non-dropping-particle":"","parse-names":false,"suffix":""}],"container-title":"Infrastructures","id":"ITEM-1","issue":"3","issued":{"date-parts":[["2019"]]},"page":"42","title":"Novel Approaches for Fracture Detection in Steel Girder Bridges","type":"article-journal","volume":"4"},"uris":["http://www.mendeley.com/documents/?uuid=3cf17ddb-79f9-3f80-ba7a-28b7ba9e2185"]},{"id":"ITEM-2","itemData":{"author":[{"dropping-particle":"","family":"Abedin","given":"Mohammad","non-dropping-particle":"","parse-names":false,"suffix":""},{"dropping-particle":"","family":"Farhangdoust","given":"Saman","non-dropping-particle":"","parse-names":false,"suffix":""},{"dropping-particle":"","family":"Mehrabi","given":"Armin B.","non-dropping-particle":"","parse-names":false,"suffix":""}],"container-title":"In Risk-Based Bridge Engineering: Proceedings of the 10th New York City Bridge Conference, August 26-27, 2019","id":"ITEM-2","issued":{"date-parts":[["2019"]]},"page":"216","publisher":"CRC Press","publisher-place":"New York City, USA","title":"Fracture detection in steel girder bridges using self-powered wireless sensors","type":"paper-conference"},"uris":["http://www.mendeley.com/documents/?uuid=d029d241-b5ca-4232-9af1-3cfa0603b76b"]}],"mendeley":{"formattedCitation":"(Abedin et al. 2019a; Abedin and Mehrabi 2019)","plainTextFormattedCitation":"(Abedin et al. 2019a; Abedin and Mehrabi 2019)","previouslyFormattedCitation":"(Abedin and Mehrabi, 2019; Abedin, Farhangdoust and Mehrabi, 2019)"},"properties":{"noteIndex":0},"schema":"https://github.com/citation-style-language/schema/raw/master/csl-citation.json"}</w:instrText>
      </w:r>
      <w:r w:rsidR="00C36C26">
        <w:rPr>
          <w:rFonts w:cstheme="majorBidi"/>
        </w:rPr>
        <w:fldChar w:fldCharType="separate"/>
      </w:r>
      <w:r w:rsidR="00860308" w:rsidRPr="00860308">
        <w:rPr>
          <w:rFonts w:cstheme="majorBidi"/>
          <w:noProof/>
        </w:rPr>
        <w:t>(Abedin et al. 2019a; Abedin and Mehrabi 2019)</w:t>
      </w:r>
      <w:r w:rsidR="00C36C26">
        <w:rPr>
          <w:rFonts w:cstheme="majorBidi"/>
        </w:rPr>
        <w:fldChar w:fldCharType="end"/>
      </w:r>
      <w:r w:rsidRPr="00EF6465">
        <w:rPr>
          <w:rFonts w:cstheme="majorBidi"/>
        </w:rPr>
        <w:t xml:space="preserve">. After each failure incident, state and federal agencies normally issue instruction for in-depth inspection of all population of bridges with similar characteristics, imposing huge costs and burden on the bridge maintenance agencies.  </w:t>
      </w:r>
    </w:p>
    <w:p w14:paraId="64F91671" w14:textId="77777777" w:rsidR="0030774B" w:rsidRDefault="0030774B" w:rsidP="0030774B">
      <w:pPr>
        <w:spacing w:line="276" w:lineRule="auto"/>
        <w:rPr>
          <w:rFonts w:cstheme="majorBidi"/>
        </w:rPr>
      </w:pPr>
    </w:p>
    <w:p w14:paraId="4E64D838" w14:textId="1D1569D4" w:rsidR="0030774B" w:rsidRDefault="0030774B" w:rsidP="00860308">
      <w:pPr>
        <w:spacing w:line="276" w:lineRule="auto"/>
        <w:jc w:val="both"/>
        <w:rPr>
          <w:rFonts w:cstheme="majorBidi"/>
        </w:rPr>
      </w:pPr>
      <w:r w:rsidRPr="00E271E1">
        <w:rPr>
          <w:rFonts w:cstheme="majorBidi"/>
        </w:rPr>
        <w:t>According to the AASHTO LRFD Bridge Design Specifications</w:t>
      </w:r>
      <w:r>
        <w:rPr>
          <w:rFonts w:cstheme="majorBidi"/>
        </w:rPr>
        <w:t xml:space="preserve"> </w:t>
      </w:r>
      <w:r>
        <w:rPr>
          <w:rStyle w:val="FootnoteReference"/>
          <w:rFonts w:cstheme="majorBidi"/>
        </w:rPr>
        <w:fldChar w:fldCharType="begin" w:fldLock="1"/>
      </w:r>
      <w:r w:rsidR="00860308">
        <w:rPr>
          <w:rFonts w:cstheme="majorBidi"/>
        </w:rPr>
        <w:instrText>ADDIN CSL_CITATION {"citationItems":[{"id":"ITEM-1","itemData":{"author":[{"dropping-particle":"","family":"AASHTO","given":"","non-dropping-particle":"","parse-names":false,"suffix":""}],"id":"ITEM-1","issued":{"date-parts":[["2017"]]},"publisher":"American Association of State Highway and Transportation Officials","publisher-place":"Washington, D.C.","title":"AASHTO LRFD Bridge Design Specifications (8th ed.)","type":"book"},"uris":["http://www.mendeley.com/documents/?uuid=5a95591a-4b17-4910-b4c3-b3c41db4da6a"]}],"mendeley":{"formattedCitation":"(AASHTO 2017)","plainTextFormattedCitation":"(AASHTO 2017)","previouslyFormattedCitation":"(AASHTO, 2017)"},"properties":{"noteIndex":0},"schema":"https://github.com/citation-style-language/schema/raw/master/csl-citation.json"}</w:instrText>
      </w:r>
      <w:r>
        <w:rPr>
          <w:rStyle w:val="FootnoteReference"/>
          <w:rFonts w:cstheme="majorBidi"/>
        </w:rPr>
        <w:fldChar w:fldCharType="separate"/>
      </w:r>
      <w:r w:rsidR="00860308" w:rsidRPr="00860308">
        <w:rPr>
          <w:rFonts w:cstheme="majorBidi"/>
          <w:bCs/>
          <w:noProof/>
        </w:rPr>
        <w:t>(AASHTO 2017)</w:t>
      </w:r>
      <w:r>
        <w:rPr>
          <w:rStyle w:val="FootnoteReference"/>
          <w:rFonts w:cstheme="majorBidi"/>
        </w:rPr>
        <w:fldChar w:fldCharType="end"/>
      </w:r>
      <w:r w:rsidRPr="00E271E1">
        <w:rPr>
          <w:rFonts w:cstheme="majorBidi"/>
        </w:rPr>
        <w:t>, “Fracture Critical members (FCMs) are steel tension members or steel tension components of members whose failure would be expected to result in collapse of the bridge.” It is required that inspection of these bridges be carried out using “arms-length” approach, which is costly and is a drain on the State’s total bridge budget</w:t>
      </w:r>
      <w:r>
        <w:rPr>
          <w:rFonts w:cstheme="majorBidi"/>
        </w:rPr>
        <w:t xml:space="preserve"> </w:t>
      </w:r>
      <w:r>
        <w:rPr>
          <w:rStyle w:val="FootnoteReference"/>
          <w:rFonts w:cstheme="majorBidi"/>
        </w:rPr>
        <w:fldChar w:fldCharType="begin" w:fldLock="1"/>
      </w:r>
      <w:r w:rsidR="00860308">
        <w:rPr>
          <w:rFonts w:cstheme="majorBidi"/>
        </w:rPr>
        <w:instrText>ADDIN CSL_CITATION {"citationItems":[{"id":"ITEM-1","itemData":{"author":[{"dropping-particle":"","family":"AASHTO and AWS","given":"","non-dropping-particle":"","parse-names":false,"suffix":""}],"id":"ITEM-1","issued":{"date-parts":[["2015"]]},"publisher-place":"Washington, DC, Miami, FL,","title":"AASHTO/AWS D1.5M/D1.5: Bridge Welding Code,","type":"article"},"uris":["http://www.mendeley.com/documents/?uuid=a30d6aa1-9933-40c1-86ca-499e2b53cc3b"]},{"id":"ITEM-2","itemData":{"ISBN":"1560514965","author":[{"dropping-particle":"","family":"AASHTO","given":"","non-dropping-particle":"","parse-names":false,"suffix":""}],"container-title":"American Association of State Highway and Transportation Officials, 2nd Edition, Washington, D.C.","id":"ITEM-2","issued":{"date-parts":[["2011"]]},"publisher":"AASHTO","title":"The Manual for Bridge Evaluation","type":"article-journal"},"uris":["http://www.mendeley.com/documents/?uuid=a124a73a-0788-4b72-8beb-9d8aad0ca7e7"]}],"mendeley":{"formattedCitation":"(AASHTO 2011; AASHTO and AWS 2015)","plainTextFormattedCitation":"(AASHTO 2011; AASHTO and AWS 2015)","previouslyFormattedCitation":"(AASHTO, 2011; AASHTO and AWS, 2015)"},"properties":{"noteIndex":0},"schema":"https://github.com/citation-style-language/schema/raw/master/csl-citation.json"}</w:instrText>
      </w:r>
      <w:r>
        <w:rPr>
          <w:rStyle w:val="FootnoteReference"/>
          <w:rFonts w:cstheme="majorBidi"/>
        </w:rPr>
        <w:fldChar w:fldCharType="separate"/>
      </w:r>
      <w:r w:rsidR="00860308" w:rsidRPr="00860308">
        <w:rPr>
          <w:rFonts w:cstheme="majorBidi"/>
          <w:noProof/>
        </w:rPr>
        <w:t>(AASHTO 2011; AASHTO and AWS 2015)</w:t>
      </w:r>
      <w:r>
        <w:rPr>
          <w:rStyle w:val="FootnoteReference"/>
          <w:rFonts w:cstheme="majorBidi"/>
        </w:rPr>
        <w:fldChar w:fldCharType="end"/>
      </w:r>
      <w:r w:rsidRPr="00E271E1">
        <w:rPr>
          <w:rFonts w:cstheme="majorBidi"/>
        </w:rPr>
        <w:t>. Currently, two steel box girder bridges are classified as bridges with fracture critical members. Specifically, the tension bottom flange in the two steel box girder bridges is categorized as a fracture critical element. Inspection of tension bottom flanges over a busy roadway is costly, time consuming and causes traffic disruption and potential safety hazards</w:t>
      </w:r>
      <w:r>
        <w:rPr>
          <w:rFonts w:cstheme="majorBidi"/>
        </w:rPr>
        <w:fldChar w:fldCharType="begin" w:fldLock="1"/>
      </w:r>
      <w:r w:rsidR="00860308">
        <w:rPr>
          <w:rFonts w:cstheme="majorBidi"/>
        </w:rPr>
        <w:instrText>ADDIN CSL_CITATION {"citationItems":[{"id":"ITEM-1","itemData":{"DOI":"10.24200/sci.2019.21386","ISSN":"2345-3605","abstract":"Freight transport policy analysts struggle to shift truck freight movements to rail to diminish transportation externalities including environmental costs and safety issues. Therefore, policy-makers need to be aware of the consequences of their decisions beforehand. This study is mainly focused on two policies targeting fuel price and access to rail transportation. A nation-wide freight mode choice model is developed for Iran, and shippers’ tendency to choose rail or truck freight transportation is analyzed by considering the shipping time and cost, commodity weight, commodity type, and rail accessibility. Total fuel consumption and air pollution costs are compared in various scenarios. Based on the results, environmental transportation costs are significantly reduced as a result of the modal shift from truck to rail freight transportation, if the government reallocates the gasoline subsidy to the construction of prioritized railroads.","author":[{"dropping-particle":"","family":"Samimi","given":"Amir","non-dropping-particle":"","parse-names":false,"suffix":""},{"dropping-particle":"","family":"Rahimi","given":"Ehsan","non-dropping-particle":"","parse-names":false,"suffix":""},{"dropping-particle":"","family":"Amini","given":"Hamidreza","non-dropping-particle":"","parse-names":false,"suffix":""},{"dropping-particle":"","family":"Jamshidi","given":"Helia","non-dropping-particle":"","parse-names":false,"suffix":""}],"container-title":"Scientia Iranica","id":"ITEM-1","issue":"0","issued":{"date-parts":[["2019"]]},"page":"0-0","publisher":"Sharif University of Technology","title":"Freight Modal Policies Toward a Sustainable Society","type":"article-journal","volume":"0"},"uris":["http://www.mendeley.com/documents/?uuid=a28377ab-e976-4a6b-bbc2-90a1385a5333"]},{"id":"ITEM-2","itemData":{"DOI":"10.22060/ceej.2017.11880.5092","abstract":"Transportation infrastructure imposes enormous costs, along with several negative consequences, on the governments. Confronting such issues, freight transport policy analysts struggle to shift truck movements to rail to diminish transportation externalities that include environmental costs and safety issues. Therefore, policy-makers need to be aware of the consequences of their decisions beforehand. This study is mainly focused on two policies targeting fuel price and access to rail. A nation-wide freight mode choice model is developed for Iran, based on which, shippers’ tendency to choose rail or truck is analyzed, given shipping cost, commodity weight, commodity type, and rail accessibility. Total fuel consumption and air pollution costs are compared in 30 scenarios. We found that total transportation costs will be reduced by more than 20 percent as a result of modal shift from truck to rail, if the government reallocates the gasoline subsidy to construction of prioritized railroads","author":[{"dropping-particle":"","family":"A. Samimi1 *, E. Rahimi1","given":"H. R. Amini2 1","non-dropping-particle":"","parse-names":false,"suffix":""}],"container-title":"Amirkabir Journal of Civil Engineering","id":"ITEM-2","issue":"January 2018","issued":{"date-parts":[["2017"]]},"page":"-","title":"A Disaggregate Analysis of Rail-Truck Mode Choice Behaviors for Freight Shipments in Iran and their Environment Effects","type":"article-journal"},"uris":["http://www.mendeley.com/documents/?uuid=3878e1fb-5c6e-35d9-85a3-a050873b5ce7"]}],"mendeley":{"formattedCitation":"(A. Samimi1 *, E. Rahimi1 2017; Samimi et al. 2019)","plainTextFormattedCitation":"(A. Samimi1 *, E. Rahimi1 2017; Samimi et al. 2019)","previouslyFormattedCitation":"(A. Samimi1 *, E. Rahimi1, 2017; Samimi &lt;i&gt;et al.&lt;/i&gt;, 2019)"},"properties":{"noteIndex":0},"schema":"https://github.com/citation-style-language/schema/raw/master/csl-citation.json"}</w:instrText>
      </w:r>
      <w:r>
        <w:rPr>
          <w:rFonts w:cstheme="majorBidi"/>
        </w:rPr>
        <w:fldChar w:fldCharType="separate"/>
      </w:r>
      <w:r w:rsidR="00860308" w:rsidRPr="00860308">
        <w:rPr>
          <w:rFonts w:cstheme="majorBidi"/>
          <w:noProof/>
        </w:rPr>
        <w:t>(A. Samimi1 *, E. Rahimi1 2017; Samimi et al. 2019)</w:t>
      </w:r>
      <w:r>
        <w:rPr>
          <w:rFonts w:cstheme="majorBidi"/>
        </w:rPr>
        <w:fldChar w:fldCharType="end"/>
      </w:r>
      <w:r w:rsidRPr="00E271E1">
        <w:rPr>
          <w:rFonts w:cstheme="majorBidi"/>
        </w:rPr>
        <w:t xml:space="preserve">. </w:t>
      </w:r>
    </w:p>
    <w:p w14:paraId="16640EDE" w14:textId="77777777" w:rsidR="0030774B" w:rsidRPr="00E271E1" w:rsidRDefault="0030774B" w:rsidP="00DB1E32">
      <w:pPr>
        <w:spacing w:line="276" w:lineRule="auto"/>
        <w:rPr>
          <w:rFonts w:cstheme="majorBidi"/>
        </w:rPr>
      </w:pPr>
    </w:p>
    <w:p w14:paraId="0C6BCA56" w14:textId="6524F900" w:rsidR="002659F5" w:rsidRPr="00E271E1" w:rsidRDefault="0083503C" w:rsidP="00860308">
      <w:pPr>
        <w:spacing w:line="276" w:lineRule="auto"/>
        <w:jc w:val="both"/>
        <w:rPr>
          <w:rFonts w:cstheme="majorBidi"/>
        </w:rPr>
      </w:pPr>
      <w:r w:rsidRPr="00E271E1">
        <w:rPr>
          <w:rFonts w:cstheme="majorBidi"/>
        </w:rPr>
        <w:t xml:space="preserve">Recent research results indicate that two steel box girder bridges could be redundant. The most notable study is the series of full scale tests carried out by University of Texas-Austin </w:t>
      </w:r>
      <w:r w:rsidR="00FC6ADC">
        <w:rPr>
          <w:rStyle w:val="FootnoteReference"/>
          <w:rFonts w:cstheme="majorBidi"/>
        </w:rPr>
        <w:fldChar w:fldCharType="begin" w:fldLock="1"/>
      </w:r>
      <w:r w:rsidR="00860308">
        <w:rPr>
          <w:rFonts w:cstheme="majorBidi"/>
        </w:rPr>
        <w:instrText>ADDIN CSL_CITATION {"citationItems":[{"id":"ITEM-1","itemData":{"author":[{"dropping-particle":"","family":"Neuman","given":"Bryce Jacob","non-dropping-particle":"","parse-names":false,"suffix":""}],"id":"ITEM-1","issued":{"date-parts":[["2009"]]},"publisher":"University of Texas at Austin","title":"Evaluating the redundancy of steel bridges: Full-scale destructive testing of a fracture critical twin box-girder steel bridge","type":"article"},"uris":["http://www.mendeley.com/documents/?uuid=49f814ae-92e9-48ef-a86a-065058a3a41e"]}],"mendeley":{"formattedCitation":"(Neuman 2009)","plainTextFormattedCitation":"(Neuman 2009)","previouslyFormattedCitation":"(Neuman, 2009)"},"properties":{"noteIndex":0},"schema":"https://github.com/citation-style-language/schema/raw/master/csl-citation.json"}</w:instrText>
      </w:r>
      <w:r w:rsidR="00FC6ADC">
        <w:rPr>
          <w:rStyle w:val="FootnoteReference"/>
          <w:rFonts w:cstheme="majorBidi"/>
        </w:rPr>
        <w:fldChar w:fldCharType="separate"/>
      </w:r>
      <w:r w:rsidR="00860308" w:rsidRPr="00860308">
        <w:rPr>
          <w:rFonts w:cstheme="majorBidi"/>
          <w:noProof/>
        </w:rPr>
        <w:t>(Neuman 2009)</w:t>
      </w:r>
      <w:r w:rsidR="00FC6ADC">
        <w:rPr>
          <w:rStyle w:val="FootnoteReference"/>
          <w:rFonts w:cstheme="majorBidi"/>
        </w:rPr>
        <w:fldChar w:fldCharType="end"/>
      </w:r>
      <w:r w:rsidR="00BE20AA">
        <w:rPr>
          <w:rFonts w:cstheme="majorBidi"/>
        </w:rPr>
        <w:t xml:space="preserve"> </w:t>
      </w:r>
      <w:r w:rsidRPr="00E271E1">
        <w:rPr>
          <w:rFonts w:cstheme="majorBidi"/>
        </w:rPr>
        <w:t>that demonstrated a high level of internal redundancy of two steel box girder bridges. A study carried out by HNTB on the two box girder structures in the Marquette Interchange, through non-linear numerical analysis also demonstrated the high level of internal and structural redundancy of two steel box girder bridges. NCHRP project 12-87</w:t>
      </w:r>
      <w:r w:rsidR="008A2CE7">
        <w:rPr>
          <w:rFonts w:cstheme="majorBidi"/>
        </w:rPr>
        <w:t xml:space="preserve"> </w:t>
      </w:r>
      <w:r w:rsidR="00FC6ADC">
        <w:rPr>
          <w:rStyle w:val="FootnoteReference"/>
          <w:rFonts w:cstheme="majorBidi"/>
        </w:rPr>
        <w:fldChar w:fldCharType="begin" w:fldLock="1"/>
      </w:r>
      <w:r w:rsidR="00860308">
        <w:rPr>
          <w:rFonts w:cstheme="majorBidi"/>
        </w:rPr>
        <w:instrText>ADDIN CSL_CITATION {"citationItems":[{"id":"ITEM-1","itemData":{"ISBN":"0309390540","author":[{"dropping-particle":"","family":"Connor","given":"Robert J","non-dropping-particle":"","parse-names":false,"suffix":""},{"dropping-particle":"","family":"Martín","given":"Bonachera","non-dropping-particle":"","parse-names":false,"suffix":""},{"dropping-particle":"","family":"Francisco","given":"J","non-dropping-particle":"","parse-names":false,"suffix":""},{"dropping-particle":"","family":"Varma","given":"Amit","non-dropping-particle":"","parse-names":false,"suffix":""},{"dropping-particle":"","family":"Lai","given":"Zhichao","non-dropping-particle":"","parse-names":false,"suffix":""},{"dropping-particle":"","family":"Korkmaz","given":"Cem","non-dropping-particle":"","parse-names":false,"suffix":""}],"id":"ITEM-1","issued":{"date-parts":[["2018"]]},"title":"Fracture-Critical System Analysis for Steel Bridges","type":"report"},"uris":["http://www.mendeley.com/documents/?uuid=f84649a1-8216-43dc-88e6-a52e58421f12"]}],"mendeley":{"formattedCitation":"(Connor et al. 2018)","plainTextFormattedCitation":"(Connor et al. 2018)","previouslyFormattedCitation":"(Connor &lt;i&gt;et al.&lt;/i&gt;, 2018)"},"properties":{"noteIndex":0},"schema":"https://github.com/citation-style-language/schema/raw/master/csl-citation.json"}</w:instrText>
      </w:r>
      <w:r w:rsidR="00FC6ADC">
        <w:rPr>
          <w:rStyle w:val="FootnoteReference"/>
          <w:rFonts w:cstheme="majorBidi"/>
        </w:rPr>
        <w:fldChar w:fldCharType="separate"/>
      </w:r>
      <w:r w:rsidR="00860308" w:rsidRPr="00860308">
        <w:rPr>
          <w:rFonts w:cstheme="majorBidi"/>
          <w:noProof/>
        </w:rPr>
        <w:t>(Connor et al. 2018)</w:t>
      </w:r>
      <w:r w:rsidR="00FC6ADC">
        <w:rPr>
          <w:rStyle w:val="FootnoteReference"/>
          <w:rFonts w:cstheme="majorBidi"/>
        </w:rPr>
        <w:fldChar w:fldCharType="end"/>
      </w:r>
      <w:r w:rsidRPr="00E271E1">
        <w:rPr>
          <w:rFonts w:cstheme="majorBidi"/>
        </w:rPr>
        <w:t xml:space="preserve">, includes an objective, “(1) develop a methodology to quantify when a steel bridge system is considered FC based on loads, existing conditions, material properties, and bridge configurations, and (2) recommend AASHTO specifications using the methodology in the design of new bridges and the evaluation of existing bridges”. NCHRP 12-87 has </w:t>
      </w:r>
      <w:r w:rsidR="009C69BD" w:rsidRPr="00E271E1">
        <w:rPr>
          <w:rFonts w:cstheme="majorBidi"/>
        </w:rPr>
        <w:t xml:space="preserve">recently </w:t>
      </w:r>
      <w:r w:rsidRPr="00E271E1">
        <w:rPr>
          <w:rFonts w:cstheme="majorBidi"/>
        </w:rPr>
        <w:t>developed series of recommendations</w:t>
      </w:r>
      <w:r w:rsidR="009C69BD" w:rsidRPr="00E271E1">
        <w:rPr>
          <w:rFonts w:cstheme="majorBidi"/>
        </w:rPr>
        <w:t xml:space="preserve"> and requirements for twin steel box girder bridges to be considered non-fracture critical</w:t>
      </w:r>
      <w:r w:rsidRPr="00E271E1">
        <w:rPr>
          <w:rFonts w:cstheme="majorBidi"/>
        </w:rPr>
        <w:t>.</w:t>
      </w:r>
    </w:p>
    <w:p w14:paraId="2973C225" w14:textId="77777777" w:rsidR="002659F5" w:rsidRPr="00E271E1" w:rsidRDefault="002659F5" w:rsidP="00DB1E32">
      <w:pPr>
        <w:spacing w:line="276" w:lineRule="auto"/>
        <w:jc w:val="both"/>
        <w:rPr>
          <w:rFonts w:cstheme="majorBidi"/>
        </w:rPr>
      </w:pPr>
    </w:p>
    <w:p w14:paraId="36B560B1" w14:textId="470E92CA" w:rsidR="0083503C" w:rsidRPr="00E271E1" w:rsidRDefault="0083503C" w:rsidP="00860308">
      <w:pPr>
        <w:spacing w:line="276" w:lineRule="auto"/>
        <w:jc w:val="both"/>
        <w:rPr>
          <w:rFonts w:cstheme="majorBidi"/>
        </w:rPr>
      </w:pPr>
      <w:r w:rsidRPr="00E271E1">
        <w:rPr>
          <w:rFonts w:cstheme="majorBidi"/>
        </w:rPr>
        <w:t>The main question as what load level should be used and established using a scientific approach still remain as a task to be accomplished. Further, many questions remain on level of performance</w:t>
      </w:r>
      <w:r w:rsidR="00153BE8">
        <w:rPr>
          <w:rFonts w:cstheme="majorBidi"/>
        </w:rPr>
        <w:t xml:space="preserve"> and the resiliency of infrastructures </w:t>
      </w:r>
      <w:r w:rsidR="0030774B">
        <w:rPr>
          <w:rFonts w:cstheme="majorBidi"/>
        </w:rPr>
        <w:fldChar w:fldCharType="begin" w:fldLock="1"/>
      </w:r>
      <w:r w:rsidR="00860308">
        <w:rPr>
          <w:rFonts w:cstheme="majorBidi"/>
        </w:rPr>
        <w:instrText>ADDIN CSL_CITATION {"citationItems":[{"id":"ITEM-1","itemData":{"DOI":"10.1016/j.trd.2019.10.011","ISSN":"13619209","abstract":"Public transit not only provides an affordable, efficient, and green service but also plays a critical role in the development of resilient transportation systems in urban areas. Transit disruption as a common incident in transit service operation can severely affect the resiliency of the transportation system as well as users’ satisfaction. While it is of great interest to transportation authorities to understand passengers’ decision behavior during unplanned transit disruptions in order to implement efficacious recovery strategies, still little is known about users’ behavior in case of such incidents. The scarcity of available data is a major underlying factor for this gap. Utilizing a recently collected data of transit users in the Chicago metropolitan area, the current study investigates transit users’ waiting tolerance during unplanned service disruptions and disclose the factors that affect their behavior. A set of interval-censored accelerated failure time models using different survival distributions are developed, compared, and the factors influencing the survival functions of the waiting tolerance are identified. The results of the analysis reveal that, for instance, having experience of using ridesharing services decreases users’ waiting tolerance during a disruption. Further, built-environment attributes (such as the density of pedestrian-oriented links and transit service frequency), availability of alternative modes, transit service type, user's attitudes, and trip characteristics turn to be significant in users’ decision behavior.","author":[{"dropping-particle":"","family":"Rahimi","given":"Ehsan","non-dropping-particle":"","parse-names":false,"suffix":""},{"dropping-particle":"","family":"Shamshiripour","given":"Ali","non-dropping-particle":"","parse-names":false,"suffix":""},{"dropping-particle":"","family":"Shabanpour","given":"Ramin","non-dropping-particle":"","parse-names":false,"suffix":""},{"dropping-particle":"","family":"Mohammadian","given":"Abolfazl","non-dropping-particle":"","parse-names":false,"suffix":""},{"dropping-particle":"","family":"Auld","given":"Joshua","non-dropping-particle":"","parse-names":false,"suffix":""}],"container-title":"Transportation Research Part D: Transport and Environment","id":"ITEM-1","issued":{"date-parts":[["2019","12","1"]]},"publisher":"Elsevier Ltd","title":"Analysis of transit users’ waiting tolerance in response to unplanned service disruptions","type":"article-journal"},"uris":["http://www.mendeley.com/documents/?uuid=85e51af5-4fb4-33e3-a153-51717319fd5d"]},{"id":"ITEM-2","itemData":{"DOI":"10.1016/j.etran.2019.100008","ISSN":"25901168","abstract":"To alleviate climate change and health issues caused by the transportation sector, a number of countries and sub-national regions have enacted policies to promote adoption of plug-in vehicles, including policies encouraging the battery electric vehicle (BEV) adoption. Despite the potential benefits of BEVs to both society and consumers, barriers such as high purchase price and limited driving range impede the widespread adoption of BEVs, as evidenced by the small market share of BEVs at present. There is a need to better understand the process in which people make vehicle decisions, and more importantly the value they are willing to pay for purchasing a vehicle. This study employs a bivariate model, wherein a binary probit model of BEV adoption is simultaneously estimated with a log-linear regression of willingness to pay (WTP). The model accounts for the endogeneity of WTP to the equation of BEV adoption and also captures the cross-equation error correlation between the two model components. The estimation results using the 2016 California Vehicle Survey determines the associated influence of factors such as socio-economic characteristics, residential energy sources and prices, and travel behavior, as well as two sets of attitudinal/preferential factors including importance of vehicle attributes and BEV concern factors. The sensitivity analysis of the results reveals that BEV owners are more inclined towards adding another BEV to their households than those with other fuel types and it can be inferred that consumers’ familiarity with the benefits and costs of BEVs may lead to its higher adoption rates.","author":[{"dropping-particle":"","family":"Nazari","given":"Fatemeh","non-dropping-particle":"","parse-names":false,"suffix":""},{"dropping-particle":"","family":"Rahimi","given":"Ehsan","non-dropping-particle":"","parse-names":false,"suffix":""},{"dropping-particle":"","family":"Mohammadian","given":"Abolfazl (Kouros)","non-dropping-particle":"","parse-names":false,"suffix":""}],"container-title":"eTransportation","id":"ITEM-2","issued":{"date-parts":[["2019","8"]]},"page":"100008","publisher":"Elsevier BV","title":"Simultaneous estimation of battery electric vehicle adoption with endogenous willingness to pay","type":"article-journal","volume":"1"},"uris":["http://www.mendeley.com/documents/?uuid=73ac1dc0-3dc6-30d9-ae89-01bca971836d"]}],"mendeley":{"formattedCitation":"(Nazari et al. 2019; Rahimi et al. 2019)","plainTextFormattedCitation":"(Nazari et al. 2019; Rahimi et al. 2019)","previouslyFormattedCitation":"(Nazari, Rahimi and Mohammadian, 2019; Rahimi &lt;i&gt;et al.&lt;/i&gt;, 2019)"},"properties":{"noteIndex":0},"schema":"https://github.com/citation-style-language/schema/raw/master/csl-citation.json"}</w:instrText>
      </w:r>
      <w:r w:rsidR="0030774B">
        <w:rPr>
          <w:rFonts w:cstheme="majorBidi"/>
        </w:rPr>
        <w:fldChar w:fldCharType="separate"/>
      </w:r>
      <w:r w:rsidR="00860308" w:rsidRPr="00860308">
        <w:rPr>
          <w:rFonts w:cstheme="majorBidi"/>
          <w:noProof/>
        </w:rPr>
        <w:t>(Nazari et al. 2019; Rahimi et al. 2019)</w:t>
      </w:r>
      <w:r w:rsidR="0030774B">
        <w:rPr>
          <w:rFonts w:cstheme="majorBidi"/>
        </w:rPr>
        <w:fldChar w:fldCharType="end"/>
      </w:r>
      <w:r w:rsidR="0030774B">
        <w:rPr>
          <w:rFonts w:cstheme="majorBidi"/>
        </w:rPr>
        <w:t xml:space="preserve"> </w:t>
      </w:r>
      <w:r w:rsidRPr="00E271E1">
        <w:rPr>
          <w:rFonts w:cstheme="majorBidi"/>
        </w:rPr>
        <w:t>expected from damaged two steel box girder bridges and behavior in between inspection cycles, before two steel box girder bridges could be removed from non-redun</w:t>
      </w:r>
      <w:r w:rsidR="00DB71DF" w:rsidRPr="00E271E1">
        <w:rPr>
          <w:rFonts w:cstheme="majorBidi"/>
        </w:rPr>
        <w:t xml:space="preserve">dant list. </w:t>
      </w:r>
      <w:r w:rsidR="00153BE8">
        <w:rPr>
          <w:rFonts w:cstheme="majorBidi"/>
        </w:rPr>
        <w:t xml:space="preserve">Moreover, </w:t>
      </w:r>
      <w:r w:rsidR="00DB71DF" w:rsidRPr="00E271E1">
        <w:rPr>
          <w:rFonts w:cstheme="majorBidi"/>
        </w:rPr>
        <w:t>Additional efforts are</w:t>
      </w:r>
      <w:r w:rsidRPr="00E271E1">
        <w:rPr>
          <w:rFonts w:cstheme="majorBidi"/>
        </w:rPr>
        <w:t xml:space="preserve"> spearheaded by Texas DOT for use of “simple” method to assess the redundancy of two steel box girder bridges, which o</w:t>
      </w:r>
      <w:r w:rsidR="0067386B">
        <w:rPr>
          <w:rFonts w:cstheme="majorBidi"/>
        </w:rPr>
        <w:t>ft</w:t>
      </w:r>
      <w:r w:rsidRPr="00E271E1">
        <w:rPr>
          <w:rFonts w:cstheme="majorBidi"/>
        </w:rPr>
        <w:t>entimes are difficult to meet because of level of conservatism invo</w:t>
      </w:r>
      <w:r w:rsidR="00DB71DF" w:rsidRPr="00E271E1">
        <w:rPr>
          <w:rFonts w:cstheme="majorBidi"/>
        </w:rPr>
        <w:t>lve</w:t>
      </w:r>
      <w:r w:rsidR="002659F5" w:rsidRPr="00E271E1">
        <w:rPr>
          <w:rFonts w:cstheme="majorBidi"/>
        </w:rPr>
        <w:t xml:space="preserve">d. It is however promising that </w:t>
      </w:r>
      <w:r w:rsidRPr="00E271E1">
        <w:rPr>
          <w:rFonts w:cstheme="majorBidi"/>
        </w:rPr>
        <w:t xml:space="preserve">FHWA has been more receptive to the idea of removing two steel box girder bridges from the non-redundant list. There will be some complementary and overlap among the ongoing two limited studies cited above and this project. This should provide more compelling reason for FHWA </w:t>
      </w:r>
      <w:r w:rsidR="00DB71DF" w:rsidRPr="00E271E1">
        <w:rPr>
          <w:rFonts w:cstheme="majorBidi"/>
        </w:rPr>
        <w:t xml:space="preserve">and more credible justifications and verifications </w:t>
      </w:r>
      <w:r w:rsidRPr="00E271E1">
        <w:rPr>
          <w:rFonts w:cstheme="majorBidi"/>
        </w:rPr>
        <w:t xml:space="preserve">to consider removing two steel box girder bridges from the non-redundant list. In conclusion, this study with the composition of the research team assembled will be very </w:t>
      </w:r>
      <w:r w:rsidR="00DB71DF" w:rsidRPr="00E271E1">
        <w:rPr>
          <w:rFonts w:cstheme="majorBidi"/>
        </w:rPr>
        <w:t>influential in</w:t>
      </w:r>
      <w:r w:rsidRPr="00E271E1">
        <w:rPr>
          <w:rFonts w:cstheme="majorBidi"/>
        </w:rPr>
        <w:t xml:space="preserve"> resolving this long standing and challenging issue, namely the redundancy of two steel box girder bridges. </w:t>
      </w:r>
    </w:p>
    <w:p w14:paraId="674B4276" w14:textId="77777777" w:rsidR="0083503C" w:rsidRPr="00E271E1" w:rsidRDefault="0083503C" w:rsidP="00DB1E32">
      <w:pPr>
        <w:spacing w:line="276" w:lineRule="auto"/>
        <w:rPr>
          <w:rFonts w:cstheme="majorBidi"/>
        </w:rPr>
      </w:pPr>
    </w:p>
    <w:p w14:paraId="4D4192BE" w14:textId="54076CE1" w:rsidR="0083503C" w:rsidRPr="00E271E1" w:rsidRDefault="0083503C" w:rsidP="00DB1E32">
      <w:pPr>
        <w:spacing w:line="276" w:lineRule="auto"/>
        <w:jc w:val="both"/>
        <w:rPr>
          <w:rFonts w:cstheme="majorBidi"/>
        </w:rPr>
      </w:pPr>
      <w:r w:rsidRPr="00E271E1">
        <w:rPr>
          <w:rFonts w:cstheme="majorBidi"/>
        </w:rPr>
        <w:t xml:space="preserve">An additional relevant project related to two steel box girder bridges is a limited numerical study being carried out at Purdue University with limited funding provided by National Steel Bridge Alliance (NSBA). To date, this study has analyzed a few two steel box girder bridges and has developed automated meshing that could be used in conjunction with detail three dimensional non-linear finite element analyses. </w:t>
      </w:r>
    </w:p>
    <w:p w14:paraId="3BE8D85E" w14:textId="77777777" w:rsidR="002659F5" w:rsidRPr="00E271E1" w:rsidRDefault="002659F5" w:rsidP="00DB1E32">
      <w:pPr>
        <w:spacing w:line="276" w:lineRule="auto"/>
        <w:jc w:val="both"/>
        <w:rPr>
          <w:rFonts w:cstheme="majorBidi"/>
        </w:rPr>
      </w:pPr>
    </w:p>
    <w:p w14:paraId="67A74FBF" w14:textId="56E6D85D" w:rsidR="0083503C" w:rsidRPr="00E271E1" w:rsidRDefault="008F044C" w:rsidP="00FC6ADC">
      <w:pPr>
        <w:spacing w:line="276" w:lineRule="auto"/>
        <w:jc w:val="both"/>
        <w:rPr>
          <w:rFonts w:cstheme="majorBidi"/>
        </w:rPr>
      </w:pPr>
      <w:r w:rsidRPr="00E271E1">
        <w:rPr>
          <w:rFonts w:cstheme="majorBidi"/>
        </w:rPr>
        <w:t xml:space="preserve">The most comprehensive recent study is a project </w:t>
      </w:r>
      <w:r w:rsidR="00DB71DF" w:rsidRPr="00E271E1">
        <w:rPr>
          <w:rFonts w:cstheme="majorBidi"/>
        </w:rPr>
        <w:t xml:space="preserve">performed at Florida International University and </w:t>
      </w:r>
      <w:r w:rsidRPr="00E271E1">
        <w:rPr>
          <w:rFonts w:cstheme="majorBidi"/>
        </w:rPr>
        <w:t>sponsored by Florida Department of Tra</w:t>
      </w:r>
      <w:r w:rsidR="00DB71DF" w:rsidRPr="00E271E1">
        <w:rPr>
          <w:rFonts w:cstheme="majorBidi"/>
        </w:rPr>
        <w:t xml:space="preserve">nsportation </w:t>
      </w:r>
      <w:r w:rsidRPr="00E271E1">
        <w:rPr>
          <w:rFonts w:cstheme="majorBidi"/>
        </w:rPr>
        <w:t xml:space="preserve">entitled </w:t>
      </w:r>
      <w:r w:rsidR="00DB71DF" w:rsidRPr="00E271E1">
        <w:rPr>
          <w:rFonts w:cstheme="majorBidi"/>
        </w:rPr>
        <w:t>“</w:t>
      </w:r>
      <w:r w:rsidRPr="00E271E1">
        <w:rPr>
          <w:rFonts w:cstheme="majorBidi"/>
        </w:rPr>
        <w:t>Managing Florida's Fracture Critical Bridges - Phases I &amp; II,</w:t>
      </w:r>
      <w:r w:rsidR="00DB71DF" w:rsidRPr="00E271E1">
        <w:rPr>
          <w:rFonts w:cstheme="majorBidi"/>
        </w:rPr>
        <w:t>”</w:t>
      </w:r>
      <w:r w:rsidRPr="00E271E1">
        <w:rPr>
          <w:rFonts w:cstheme="majorBidi"/>
        </w:rPr>
        <w:t xml:space="preserve"> FDOT Research Project Number BDV29-977-17</w:t>
      </w:r>
      <w:r w:rsidR="00BE20AA">
        <w:rPr>
          <w:rFonts w:cstheme="majorBidi"/>
        </w:rPr>
        <w:t xml:space="preserve"> </w:t>
      </w:r>
      <w:r w:rsidR="00FC6ADC">
        <w:rPr>
          <w:rStyle w:val="FootnoteReference"/>
          <w:rFonts w:cstheme="majorBidi"/>
        </w:rPr>
        <w:fldChar w:fldCharType="begin" w:fldLock="1"/>
      </w:r>
      <w:r w:rsidR="00860308">
        <w:rPr>
          <w:rFonts w:cstheme="majorBidi"/>
        </w:rPr>
        <w:instrText>ADDIN CSL_CITATION {"citationItems":[{"id":"ITEM-1","itemData":{"author":[{"dropping-particle":"V","family":"Pham","given":"Huy","non-dropping-particle":"","parse-names":false,"suffix":""}],"id":"ITEM-1","issued":{"date-parts":[["2016"]]},"title":"Evaluation of Redundancy of Twin Steel Box-Girder Bridges","type":"article-journal"},"uris":["http://www.mendeley.com/documents/?uuid=89d8f83d-a3fc-423e-8d69-70a8c6e5524d"]}],"mendeley":{"formattedCitation":"(Pham 2016)","plainTextFormattedCitation":"(Pham 2016)","previouslyFormattedCitation":"(Pham, 2016)"},"properties":{"noteIndex":0},"schema":"https://github.com/citation-style-language/schema/raw/master/csl-citation.json"}</w:instrText>
      </w:r>
      <w:r w:rsidR="00FC6ADC">
        <w:rPr>
          <w:rStyle w:val="FootnoteReference"/>
          <w:rFonts w:cstheme="majorBidi"/>
        </w:rPr>
        <w:fldChar w:fldCharType="separate"/>
      </w:r>
      <w:r w:rsidR="00860308" w:rsidRPr="00860308">
        <w:rPr>
          <w:rFonts w:cstheme="majorBidi"/>
          <w:noProof/>
        </w:rPr>
        <w:t>(Pham 2016)</w:t>
      </w:r>
      <w:r w:rsidR="00FC6ADC">
        <w:rPr>
          <w:rStyle w:val="FootnoteReference"/>
          <w:rFonts w:cstheme="majorBidi"/>
        </w:rPr>
        <w:fldChar w:fldCharType="end"/>
      </w:r>
      <w:r w:rsidR="0083503C" w:rsidRPr="00E271E1">
        <w:rPr>
          <w:rFonts w:cstheme="majorBidi"/>
        </w:rPr>
        <w:t>. This extensive experimental, field testing, numerical and analytical studies ha</w:t>
      </w:r>
      <w:r w:rsidRPr="00E271E1">
        <w:rPr>
          <w:rFonts w:cstheme="majorBidi"/>
        </w:rPr>
        <w:t>ve</w:t>
      </w:r>
      <w:r w:rsidR="0083503C" w:rsidRPr="00E271E1">
        <w:rPr>
          <w:rFonts w:cstheme="majorBidi"/>
        </w:rPr>
        <w:t xml:space="preserve"> shown that a high level of redundancy exists in two steel box girder bridges. Major conclusions from this study includes: </w:t>
      </w:r>
    </w:p>
    <w:p w14:paraId="78C861A4" w14:textId="77777777" w:rsidR="0083503C" w:rsidRPr="00E271E1" w:rsidRDefault="0083503C" w:rsidP="00DB1E32">
      <w:pPr>
        <w:spacing w:line="276" w:lineRule="auto"/>
        <w:rPr>
          <w:rFonts w:cstheme="majorBidi"/>
        </w:rPr>
      </w:pPr>
    </w:p>
    <w:p w14:paraId="18AB5297" w14:textId="5D4D51D1" w:rsidR="0083503C" w:rsidRPr="00E271E1" w:rsidRDefault="0083503C" w:rsidP="00DB1E32">
      <w:pPr>
        <w:pStyle w:val="ListParagraph"/>
        <w:numPr>
          <w:ilvl w:val="0"/>
          <w:numId w:val="9"/>
        </w:numPr>
        <w:spacing w:after="160" w:line="276" w:lineRule="auto"/>
        <w:jc w:val="both"/>
        <w:rPr>
          <w:rFonts w:cstheme="majorBidi"/>
        </w:rPr>
      </w:pPr>
      <w:r w:rsidRPr="00E271E1">
        <w:rPr>
          <w:rFonts w:cstheme="majorBidi"/>
        </w:rPr>
        <w:t>Two steel bo</w:t>
      </w:r>
      <w:r w:rsidR="00DB71DF" w:rsidRPr="00E271E1">
        <w:rPr>
          <w:rFonts w:cstheme="majorBidi"/>
        </w:rPr>
        <w:t xml:space="preserve">x girder bridges have a </w:t>
      </w:r>
      <w:r w:rsidRPr="00E271E1">
        <w:rPr>
          <w:rFonts w:cstheme="majorBidi"/>
        </w:rPr>
        <w:t>capacity a</w:t>
      </w:r>
      <w:r w:rsidR="0067386B">
        <w:rPr>
          <w:rFonts w:cstheme="majorBidi"/>
        </w:rPr>
        <w:t>ft</w:t>
      </w:r>
      <w:r w:rsidRPr="00E271E1">
        <w:rPr>
          <w:rFonts w:cstheme="majorBidi"/>
        </w:rPr>
        <w:t>er the complete fracture of the tension flange on one girder</w:t>
      </w:r>
    </w:p>
    <w:p w14:paraId="7F8C3C86" w14:textId="2C04313F" w:rsidR="0083503C" w:rsidRDefault="0083503C" w:rsidP="00DB1E32">
      <w:pPr>
        <w:pStyle w:val="ListParagraph"/>
        <w:numPr>
          <w:ilvl w:val="0"/>
          <w:numId w:val="9"/>
        </w:numPr>
        <w:spacing w:after="160" w:line="276" w:lineRule="auto"/>
        <w:jc w:val="both"/>
        <w:rPr>
          <w:rFonts w:cstheme="majorBidi"/>
        </w:rPr>
      </w:pPr>
      <w:r w:rsidRPr="00E271E1">
        <w:rPr>
          <w:rFonts w:cstheme="majorBidi"/>
        </w:rPr>
        <w:t>Punching shear capacity of the deck is the weak link. Results of FDOT sponsored work indicates that damaged two steel box girder bridges do not have the mechanism to transfer high wheel loads below the deck and punching shear of deck will take place before any other failure type. We should also note that very seldom the bridge sees loads that is designed for, and almost impossible to see the kind of wheel loads that would result in a failure. This important observation is completely absen</w:t>
      </w:r>
      <w:r w:rsidR="00C32023" w:rsidRPr="00E271E1">
        <w:rPr>
          <w:rFonts w:cstheme="majorBidi"/>
        </w:rPr>
        <w:t>t</w:t>
      </w:r>
      <w:r w:rsidRPr="00E271E1">
        <w:rPr>
          <w:rFonts w:cstheme="majorBidi"/>
        </w:rPr>
        <w:t xml:space="preserve"> in recent works conducted by Texas, NCHRP or Purdue work. </w:t>
      </w:r>
    </w:p>
    <w:p w14:paraId="37E20B5D" w14:textId="77777777" w:rsidR="00DB1E32" w:rsidRPr="00E271E1" w:rsidRDefault="00DB1E32" w:rsidP="00DB1E32">
      <w:pPr>
        <w:pStyle w:val="ListParagraph"/>
        <w:spacing w:after="160" w:line="276" w:lineRule="auto"/>
        <w:jc w:val="both"/>
        <w:rPr>
          <w:rFonts w:cstheme="majorBidi"/>
        </w:rPr>
      </w:pPr>
    </w:p>
    <w:p w14:paraId="41FAE06F" w14:textId="6FDA5718" w:rsidR="0083503C" w:rsidRPr="00E271E1" w:rsidRDefault="0083503C" w:rsidP="00DB1E32">
      <w:pPr>
        <w:spacing w:line="276" w:lineRule="auto"/>
        <w:jc w:val="both"/>
        <w:rPr>
          <w:rFonts w:cstheme="majorBidi"/>
        </w:rPr>
      </w:pPr>
      <w:r w:rsidRPr="00E271E1">
        <w:rPr>
          <w:rFonts w:cstheme="majorBidi"/>
        </w:rPr>
        <w:lastRenderedPageBreak/>
        <w:t xml:space="preserve">What remains to be accomplished is to take advantage of existing knowledge and conduct the necessary additional work to fill in the knowledge gap and develop a sound methodology, approach and tools that State DOTs could use to evaluate redundancy of two steel box girder bridges and eliminate them from the fracture critical list. </w:t>
      </w:r>
    </w:p>
    <w:p w14:paraId="2F43DE07" w14:textId="77777777" w:rsidR="0083503C" w:rsidRPr="00E271E1" w:rsidRDefault="0083503C" w:rsidP="00DB1E32">
      <w:pPr>
        <w:spacing w:line="276" w:lineRule="auto"/>
        <w:rPr>
          <w:rFonts w:cstheme="majorBidi"/>
        </w:rPr>
      </w:pPr>
    </w:p>
    <w:p w14:paraId="5080D0A0" w14:textId="730608D9" w:rsidR="0083503C" w:rsidRPr="00E271E1" w:rsidRDefault="0083503C" w:rsidP="00DB1E32">
      <w:pPr>
        <w:spacing w:line="276" w:lineRule="auto"/>
        <w:jc w:val="both"/>
        <w:rPr>
          <w:rFonts w:cstheme="majorBidi"/>
        </w:rPr>
      </w:pPr>
      <w:r w:rsidRPr="00E271E1">
        <w:rPr>
          <w:rFonts w:cstheme="majorBidi"/>
        </w:rPr>
        <w:t xml:space="preserve">The existing guidelines in the AASHTO LRFD Bridge Design specification as well as the June 20, 2012 memorandum (FHWA is in the process of issuing update on this memorandum) issued by FHWA and very recent discussions with FHWA, </w:t>
      </w:r>
      <w:r w:rsidR="00DB71DF" w:rsidRPr="00E271E1">
        <w:rPr>
          <w:rFonts w:cstheme="majorBidi"/>
        </w:rPr>
        <w:t xml:space="preserve">and the recently completed NCHRP 12-87 research project </w:t>
      </w:r>
      <w:r w:rsidRPr="00E271E1">
        <w:rPr>
          <w:rFonts w:cstheme="majorBidi"/>
        </w:rPr>
        <w:t xml:space="preserve">allows and provides a roadmap for assessing the redundancy of two steel box girder bridges. </w:t>
      </w:r>
    </w:p>
    <w:p w14:paraId="498E6371" w14:textId="77777777" w:rsidR="002659F5" w:rsidRPr="00E271E1" w:rsidRDefault="002659F5" w:rsidP="00DB1E32">
      <w:pPr>
        <w:spacing w:line="276" w:lineRule="auto"/>
        <w:jc w:val="both"/>
        <w:rPr>
          <w:rFonts w:cstheme="majorBidi"/>
        </w:rPr>
      </w:pPr>
    </w:p>
    <w:p w14:paraId="78D05CD8" w14:textId="4BE395C4" w:rsidR="0083503C" w:rsidRDefault="0083503C" w:rsidP="00DB1E32">
      <w:pPr>
        <w:spacing w:line="276" w:lineRule="auto"/>
        <w:jc w:val="both"/>
        <w:rPr>
          <w:rFonts w:cstheme="majorBidi"/>
        </w:rPr>
      </w:pPr>
      <w:r w:rsidRPr="00E271E1">
        <w:rPr>
          <w:rFonts w:cstheme="majorBidi"/>
        </w:rPr>
        <w:t>The commentary for Section 6.6.2 of the AASHTO LRFD Bridge Design Specifications provides general guidelines that can be used to evaluate the performance of bridges with Fracture Critical members. The challenge, in evaluating redundancy of the two steel box girder bridges, is that it is implied that each bridge in the State inventory, should be analyzed individually before it can be removed from the fracture critical list. In this study the notional bridge approach will be used, as explained later.</w:t>
      </w:r>
    </w:p>
    <w:p w14:paraId="20ACBBCF" w14:textId="0271DD08" w:rsidR="002659F5" w:rsidRPr="00E271E1" w:rsidRDefault="002659F5" w:rsidP="002659F5">
      <w:pPr>
        <w:spacing w:line="276" w:lineRule="auto"/>
        <w:jc w:val="both"/>
        <w:rPr>
          <w:rFonts w:cstheme="majorBidi"/>
        </w:rPr>
      </w:pPr>
    </w:p>
    <w:p w14:paraId="7C6EAE57" w14:textId="3DD0C832" w:rsidR="000B7489" w:rsidRPr="004D5B7E" w:rsidRDefault="000B7489" w:rsidP="004D5B7E">
      <w:pPr>
        <w:pStyle w:val="Heading1"/>
      </w:pPr>
      <w:bookmarkStart w:id="2" w:name="_Toc7519831"/>
      <w:r w:rsidRPr="00E271E1">
        <w:t>PROJECT OBJECTIVES</w:t>
      </w:r>
      <w:bookmarkEnd w:id="2"/>
    </w:p>
    <w:p w14:paraId="2DB8D004" w14:textId="65BE4569" w:rsidR="00323C69" w:rsidRDefault="0083503C" w:rsidP="00DB1E32">
      <w:pPr>
        <w:spacing w:line="276" w:lineRule="auto"/>
        <w:jc w:val="both"/>
        <w:rPr>
          <w:rFonts w:cstheme="majorBidi"/>
        </w:rPr>
      </w:pPr>
      <w:r w:rsidRPr="00E271E1">
        <w:rPr>
          <w:rFonts w:cstheme="majorBidi"/>
        </w:rPr>
        <w:t xml:space="preserve">The objective of this project is to establish a design target performance and safety level for two steel box girder bridges, outline a methodology and approach for assessing the redundancy of the two steel box girder bridges, assess the redundancy of one curved girder bridge using the recommended approach, and summarize the findings and present the results to FHWA. </w:t>
      </w:r>
    </w:p>
    <w:p w14:paraId="4F79B8D1" w14:textId="77777777" w:rsidR="00DB1E32" w:rsidRPr="00E271E1" w:rsidRDefault="00DB1E32" w:rsidP="00DB1E32">
      <w:pPr>
        <w:spacing w:line="276" w:lineRule="auto"/>
        <w:jc w:val="both"/>
        <w:rPr>
          <w:rFonts w:cstheme="majorBidi"/>
        </w:rPr>
      </w:pPr>
    </w:p>
    <w:p w14:paraId="5AD6BFEC" w14:textId="341CA3BC" w:rsidR="007C4397" w:rsidRPr="00E271E1" w:rsidRDefault="007457BD" w:rsidP="00DB1E32">
      <w:pPr>
        <w:spacing w:line="276" w:lineRule="auto"/>
        <w:jc w:val="both"/>
        <w:rPr>
          <w:rFonts w:cstheme="majorBidi"/>
        </w:rPr>
      </w:pPr>
      <w:r w:rsidRPr="00E271E1">
        <w:rPr>
          <w:rFonts w:cstheme="majorBidi"/>
        </w:rPr>
        <w:t>For e</w:t>
      </w:r>
      <w:r w:rsidR="007C4397" w:rsidRPr="00E271E1">
        <w:rPr>
          <w:rFonts w:cstheme="majorBidi"/>
        </w:rPr>
        <w:t>stablish</w:t>
      </w:r>
      <w:r w:rsidR="00DB71DF" w:rsidRPr="00E271E1">
        <w:rPr>
          <w:rFonts w:cstheme="majorBidi"/>
        </w:rPr>
        <w:t>ing</w:t>
      </w:r>
      <w:r w:rsidR="007C4397" w:rsidRPr="00E271E1">
        <w:rPr>
          <w:rFonts w:cstheme="majorBidi"/>
        </w:rPr>
        <w:t xml:space="preserve"> bridge loading and res</w:t>
      </w:r>
      <w:r w:rsidR="00DB71DF" w:rsidRPr="00E271E1">
        <w:rPr>
          <w:rFonts w:cstheme="majorBidi"/>
        </w:rPr>
        <w:t>ponse criteria</w:t>
      </w:r>
      <w:r w:rsidRPr="00E271E1">
        <w:rPr>
          <w:rFonts w:cstheme="majorBidi"/>
        </w:rPr>
        <w:t>,</w:t>
      </w:r>
      <w:r w:rsidR="00DB71DF" w:rsidRPr="00E271E1">
        <w:rPr>
          <w:rFonts w:cstheme="majorBidi"/>
        </w:rPr>
        <w:t xml:space="preserve"> and </w:t>
      </w:r>
      <w:r w:rsidR="007C4397" w:rsidRPr="00E271E1">
        <w:rPr>
          <w:rFonts w:cstheme="majorBidi"/>
        </w:rPr>
        <w:t>minimum accep</w:t>
      </w:r>
      <w:r w:rsidR="00623DB9" w:rsidRPr="00E271E1">
        <w:rPr>
          <w:rFonts w:cstheme="majorBidi"/>
        </w:rPr>
        <w:t>table methods and requirement</w:t>
      </w:r>
      <w:r w:rsidR="002A7BB6" w:rsidRPr="00E271E1">
        <w:rPr>
          <w:rFonts w:cstheme="majorBidi"/>
        </w:rPr>
        <w:t>s</w:t>
      </w:r>
      <w:r w:rsidR="00623DB9" w:rsidRPr="00E271E1">
        <w:rPr>
          <w:rFonts w:cstheme="majorBidi"/>
        </w:rPr>
        <w:t xml:space="preserve"> for</w:t>
      </w:r>
      <w:r w:rsidR="007C4397" w:rsidRPr="00E271E1">
        <w:rPr>
          <w:rFonts w:cstheme="majorBidi"/>
        </w:rPr>
        <w:t xml:space="preserve"> analysis</w:t>
      </w:r>
      <w:r w:rsidRPr="00E271E1">
        <w:rPr>
          <w:rFonts w:cstheme="majorBidi"/>
        </w:rPr>
        <w:t>, the following tasks are in progress.</w:t>
      </w:r>
    </w:p>
    <w:p w14:paraId="380BDF75" w14:textId="77777777" w:rsidR="00623DB9" w:rsidRPr="00E271E1" w:rsidRDefault="00623DB9" w:rsidP="00623DB9">
      <w:pPr>
        <w:spacing w:line="276" w:lineRule="auto"/>
        <w:rPr>
          <w:rFonts w:cstheme="majorBidi"/>
        </w:rPr>
      </w:pPr>
    </w:p>
    <w:p w14:paraId="3291C992" w14:textId="3BE85A50" w:rsidR="007457BD" w:rsidRPr="00E271E1" w:rsidRDefault="00C92396" w:rsidP="002A74E4">
      <w:pPr>
        <w:pStyle w:val="Heading1"/>
      </w:pPr>
      <w:bookmarkStart w:id="3" w:name="_Toc7519832"/>
      <w:r w:rsidRPr="00E271E1">
        <w:t>Development of an “Equivalent” or notion</w:t>
      </w:r>
      <w:r w:rsidR="007457BD" w:rsidRPr="00E271E1">
        <w:t>al Two Steel Box Girder</w:t>
      </w:r>
      <w:bookmarkEnd w:id="3"/>
      <w:r w:rsidRPr="00E271E1">
        <w:t xml:space="preserve"> </w:t>
      </w:r>
    </w:p>
    <w:p w14:paraId="485C41E7" w14:textId="485AA896" w:rsidR="007457BD" w:rsidRPr="00E271E1" w:rsidRDefault="00C92396" w:rsidP="00DB1E32">
      <w:pPr>
        <w:spacing w:line="276" w:lineRule="auto"/>
        <w:jc w:val="both"/>
        <w:rPr>
          <w:rFonts w:cstheme="majorBidi"/>
        </w:rPr>
      </w:pPr>
      <w:r w:rsidRPr="00E271E1">
        <w:rPr>
          <w:rFonts w:cstheme="majorBidi"/>
        </w:rPr>
        <w:t xml:space="preserve">The FDOT sponsored project </w:t>
      </w:r>
      <w:r w:rsidR="007457BD" w:rsidRPr="00E271E1">
        <w:rPr>
          <w:rFonts w:cstheme="majorBidi"/>
        </w:rPr>
        <w:t xml:space="preserve">performed earlier by FIU </w:t>
      </w:r>
      <w:r w:rsidRPr="00E271E1">
        <w:rPr>
          <w:rFonts w:cstheme="majorBidi"/>
        </w:rPr>
        <w:t xml:space="preserve">has developed a preliminary approach to develop an “Equivalent” simple </w:t>
      </w:r>
      <w:r w:rsidR="002978F0" w:rsidRPr="00E271E1">
        <w:rPr>
          <w:rFonts w:cstheme="majorBidi"/>
        </w:rPr>
        <w:t xml:space="preserve">or continuous </w:t>
      </w:r>
      <w:r w:rsidRPr="00E271E1">
        <w:rPr>
          <w:rFonts w:cstheme="majorBidi"/>
        </w:rPr>
        <w:t xml:space="preserve">span bridge that could represent a series of two steel box girder bridges. </w:t>
      </w:r>
      <w:r w:rsidR="007457BD" w:rsidRPr="00E271E1">
        <w:rPr>
          <w:rFonts w:cstheme="majorBidi"/>
        </w:rPr>
        <w:t xml:space="preserve">This approach and conceptual steps for developing </w:t>
      </w:r>
      <w:r w:rsidR="00740ACF" w:rsidRPr="00E271E1">
        <w:rPr>
          <w:rFonts w:cstheme="majorBidi"/>
        </w:rPr>
        <w:t>notional bridge is summarized a</w:t>
      </w:r>
      <w:r w:rsidR="007457BD" w:rsidRPr="00E271E1">
        <w:rPr>
          <w:rFonts w:cstheme="majorBidi"/>
        </w:rPr>
        <w:t>s follows.</w:t>
      </w:r>
    </w:p>
    <w:p w14:paraId="09273BB4" w14:textId="77777777" w:rsidR="0073299E" w:rsidRPr="00E271E1" w:rsidRDefault="0073299E" w:rsidP="00DB1E32">
      <w:pPr>
        <w:spacing w:line="276" w:lineRule="auto"/>
        <w:jc w:val="both"/>
        <w:rPr>
          <w:rFonts w:cstheme="majorBidi"/>
        </w:rPr>
      </w:pPr>
    </w:p>
    <w:p w14:paraId="02223FF8" w14:textId="00C6E58E" w:rsidR="002978F0" w:rsidRPr="00E271E1" w:rsidRDefault="002978F0" w:rsidP="00DB1E32">
      <w:pPr>
        <w:spacing w:line="276" w:lineRule="auto"/>
        <w:jc w:val="both"/>
        <w:rPr>
          <w:rFonts w:cstheme="majorBidi"/>
        </w:rPr>
      </w:pPr>
      <w:r w:rsidRPr="00E271E1">
        <w:rPr>
          <w:rFonts w:cstheme="majorBidi"/>
        </w:rPr>
        <w:t xml:space="preserve">The most reliable method for checking the redundancy of two steel box-girder bridges is conducting a detailed nonlinear finite element model and checking the critical limit states and the </w:t>
      </w:r>
      <w:r w:rsidRPr="00E271E1">
        <w:rPr>
          <w:rFonts w:cstheme="majorBidi"/>
        </w:rPr>
        <w:lastRenderedPageBreak/>
        <w:t xml:space="preserve">minimum load levels that bridges can carry before these limit states are reached. However, checking the redundancy of all two steel box-girder </w:t>
      </w:r>
      <w:r w:rsidR="00D63D89">
        <w:rPr>
          <w:rFonts w:cstheme="majorBidi"/>
        </w:rPr>
        <w:t xml:space="preserve">bridges </w:t>
      </w:r>
      <w:r w:rsidR="006D7C00" w:rsidRPr="00E271E1">
        <w:rPr>
          <w:rFonts w:cstheme="majorBidi"/>
        </w:rPr>
        <w:t xml:space="preserve">within inventory of a given state </w:t>
      </w:r>
      <w:r w:rsidRPr="00E271E1">
        <w:rPr>
          <w:rFonts w:cstheme="majorBidi"/>
        </w:rPr>
        <w:t>requires significant amount of financial, labor and computer recourses</w:t>
      </w:r>
      <w:r w:rsidR="00D63D89">
        <w:rPr>
          <w:rFonts w:cstheme="majorBidi"/>
        </w:rPr>
        <w:t>.</w:t>
      </w:r>
      <w:r w:rsidRPr="00E271E1">
        <w:rPr>
          <w:rFonts w:cstheme="majorBidi"/>
        </w:rPr>
        <w:t xml:space="preserve"> </w:t>
      </w:r>
      <w:r w:rsidR="00D63D89">
        <w:rPr>
          <w:rFonts w:cstheme="majorBidi"/>
        </w:rPr>
        <w:t>M</w:t>
      </w:r>
      <w:r w:rsidRPr="00E271E1">
        <w:rPr>
          <w:rFonts w:cstheme="majorBidi"/>
        </w:rPr>
        <w:t xml:space="preserve">oreover, future bridges may have different characteristics than the current bridges and their redundancy need to be evaluated by developing a new finite element model.   </w:t>
      </w:r>
    </w:p>
    <w:p w14:paraId="5C90A029" w14:textId="77777777" w:rsidR="006D7C00" w:rsidRPr="00E271E1" w:rsidRDefault="006D7C00" w:rsidP="00DB1E32">
      <w:pPr>
        <w:spacing w:line="276" w:lineRule="auto"/>
        <w:jc w:val="both"/>
        <w:rPr>
          <w:rFonts w:cstheme="majorBidi"/>
        </w:rPr>
      </w:pPr>
    </w:p>
    <w:p w14:paraId="76FCBE52" w14:textId="7AE9E387" w:rsidR="002978F0" w:rsidRPr="00E271E1" w:rsidRDefault="002978F0" w:rsidP="00DB1E32">
      <w:pPr>
        <w:spacing w:line="276" w:lineRule="auto"/>
        <w:jc w:val="both"/>
        <w:rPr>
          <w:rFonts w:cstheme="majorBidi"/>
        </w:rPr>
      </w:pPr>
      <w:r w:rsidRPr="00E271E1">
        <w:rPr>
          <w:rFonts w:cstheme="majorBidi"/>
        </w:rPr>
        <w:t xml:space="preserve">The notional approach proposed </w:t>
      </w:r>
      <w:r w:rsidR="00606B78">
        <w:rPr>
          <w:rFonts w:cstheme="majorBidi"/>
        </w:rPr>
        <w:t>by the earlier FIU study</w:t>
      </w:r>
      <w:r w:rsidRPr="00E271E1">
        <w:rPr>
          <w:rFonts w:cstheme="majorBidi"/>
        </w:rPr>
        <w:t xml:space="preserve"> </w:t>
      </w:r>
      <w:r w:rsidR="00D63D89">
        <w:rPr>
          <w:rFonts w:cstheme="majorBidi"/>
        </w:rPr>
        <w:t>suggested</w:t>
      </w:r>
      <w:r w:rsidRPr="00E271E1">
        <w:rPr>
          <w:rFonts w:cstheme="majorBidi"/>
        </w:rPr>
        <w:t xml:space="preserve"> reduc</w:t>
      </w:r>
      <w:r w:rsidR="00D63D89">
        <w:rPr>
          <w:rFonts w:cstheme="majorBidi"/>
        </w:rPr>
        <w:t>ing</w:t>
      </w:r>
      <w:r w:rsidRPr="00E271E1">
        <w:rPr>
          <w:rFonts w:cstheme="majorBidi"/>
        </w:rPr>
        <w:t xml:space="preserve"> the level of effort</w:t>
      </w:r>
      <w:r w:rsidR="00D63D89">
        <w:rPr>
          <w:rFonts w:cstheme="majorBidi"/>
        </w:rPr>
        <w:t>s</w:t>
      </w:r>
      <w:r w:rsidRPr="00E271E1">
        <w:rPr>
          <w:rFonts w:cstheme="majorBidi"/>
        </w:rPr>
        <w:t xml:space="preserve"> by subdividing all two steel box-girders within the state inventory </w:t>
      </w:r>
      <w:r w:rsidR="00D63D89">
        <w:rPr>
          <w:rFonts w:cstheme="majorBidi"/>
        </w:rPr>
        <w:t>in</w:t>
      </w:r>
      <w:r w:rsidRPr="00E271E1">
        <w:rPr>
          <w:rFonts w:cstheme="majorBidi"/>
        </w:rPr>
        <w:t>to several groups based on their main characteristics</w:t>
      </w:r>
      <w:r w:rsidR="00D63D89">
        <w:rPr>
          <w:rFonts w:cstheme="majorBidi"/>
        </w:rPr>
        <w:t>,</w:t>
      </w:r>
      <w:r w:rsidRPr="00E271E1">
        <w:rPr>
          <w:rFonts w:cstheme="majorBidi"/>
        </w:rPr>
        <w:t xml:space="preserve"> and developing a notional simple</w:t>
      </w:r>
      <w:r w:rsidR="006D7C00" w:rsidRPr="00E271E1">
        <w:rPr>
          <w:rFonts w:cstheme="majorBidi"/>
        </w:rPr>
        <w:t xml:space="preserve"> or continuous </w:t>
      </w:r>
      <w:r w:rsidRPr="00E271E1">
        <w:rPr>
          <w:rFonts w:cstheme="majorBidi"/>
        </w:rPr>
        <w:t xml:space="preserve">span two steel </w:t>
      </w:r>
      <w:r w:rsidR="00FC5083" w:rsidRPr="00E271E1">
        <w:rPr>
          <w:rFonts w:cstheme="majorBidi"/>
        </w:rPr>
        <w:t>box girder</w:t>
      </w:r>
      <w:r w:rsidRPr="00E271E1">
        <w:rPr>
          <w:rFonts w:cstheme="majorBidi"/>
        </w:rPr>
        <w:t xml:space="preserve"> bridge that would represent each group. By evaluating redundancy of the notional bridge using a detailed nonlinear finite element model, all bridges within the group under consideration, </w:t>
      </w:r>
      <w:r w:rsidR="0044292A">
        <w:rPr>
          <w:rFonts w:cstheme="majorBidi"/>
        </w:rPr>
        <w:t>can also be evaluated</w:t>
      </w:r>
      <w:r w:rsidR="00D63D89">
        <w:rPr>
          <w:rFonts w:cstheme="majorBidi"/>
        </w:rPr>
        <w:t>. M</w:t>
      </w:r>
      <w:r w:rsidRPr="00E271E1">
        <w:rPr>
          <w:rFonts w:cstheme="majorBidi"/>
        </w:rPr>
        <w:t xml:space="preserve">oreover, redundancy of any new bridge can be evaluated by comparing its characteristics to the presented notional bridges. </w:t>
      </w:r>
    </w:p>
    <w:p w14:paraId="1898CB24" w14:textId="77777777" w:rsidR="006D7C00" w:rsidRPr="00E271E1" w:rsidRDefault="006D7C00" w:rsidP="00DB1E32">
      <w:pPr>
        <w:spacing w:line="276" w:lineRule="auto"/>
        <w:jc w:val="both"/>
        <w:rPr>
          <w:rFonts w:cstheme="majorBidi"/>
        </w:rPr>
      </w:pPr>
    </w:p>
    <w:p w14:paraId="6D32E1A3" w14:textId="5FC1C727" w:rsidR="006D7C00" w:rsidRPr="00E271E1" w:rsidRDefault="006D7C00" w:rsidP="00DB1E32">
      <w:pPr>
        <w:spacing w:line="276" w:lineRule="auto"/>
        <w:jc w:val="both"/>
        <w:rPr>
          <w:rFonts w:cstheme="majorBidi"/>
        </w:rPr>
      </w:pPr>
      <w:r w:rsidRPr="00E271E1">
        <w:rPr>
          <w:rFonts w:cstheme="majorBidi"/>
        </w:rPr>
        <w:t xml:space="preserve">The grouping criteria is determined based on the geometrical characteristics </w:t>
      </w:r>
      <w:r w:rsidR="00C36AEB">
        <w:rPr>
          <w:rFonts w:cstheme="majorBidi"/>
        </w:rPr>
        <w:t>of the bridge including</w:t>
      </w:r>
      <w:r w:rsidRPr="00E271E1">
        <w:rPr>
          <w:rFonts w:cstheme="majorBidi"/>
        </w:rPr>
        <w:t xml:space="preserve"> </w:t>
      </w:r>
      <w:r w:rsidR="00D63D89">
        <w:rPr>
          <w:rFonts w:cstheme="majorBidi"/>
        </w:rPr>
        <w:t xml:space="preserve">the </w:t>
      </w:r>
      <w:r w:rsidRPr="00E271E1">
        <w:rPr>
          <w:rFonts w:cstheme="majorBidi"/>
        </w:rPr>
        <w:t xml:space="preserve">type of bridge, designed lane-load number, maximum span length, number of spans, radius </w:t>
      </w:r>
      <w:r w:rsidR="00606B78">
        <w:rPr>
          <w:rFonts w:cstheme="majorBidi"/>
        </w:rPr>
        <w:t xml:space="preserve">of </w:t>
      </w:r>
      <w:r w:rsidRPr="00E271E1">
        <w:rPr>
          <w:rFonts w:cstheme="majorBidi"/>
        </w:rPr>
        <w:t xml:space="preserve">curvature and cross-section. Based on these </w:t>
      </w:r>
      <w:r w:rsidR="00C36AEB">
        <w:rPr>
          <w:rFonts w:cstheme="majorBidi"/>
        </w:rPr>
        <w:t>factors</w:t>
      </w:r>
      <w:r w:rsidRPr="00E271E1">
        <w:rPr>
          <w:rFonts w:cstheme="majorBidi"/>
        </w:rPr>
        <w:t>, bridges of interest can be categorized into several groups. Once select bridges are categorized into groups, a notional bridge model that can represent all the bridges within each group needs to be developed.</w:t>
      </w:r>
    </w:p>
    <w:p w14:paraId="069211D8" w14:textId="77777777" w:rsidR="00D8399D" w:rsidRPr="00E271E1" w:rsidRDefault="00D8399D" w:rsidP="00DB1E32">
      <w:pPr>
        <w:spacing w:line="276" w:lineRule="auto"/>
        <w:jc w:val="both"/>
        <w:rPr>
          <w:rFonts w:cstheme="majorBidi"/>
        </w:rPr>
      </w:pPr>
    </w:p>
    <w:p w14:paraId="540728C5" w14:textId="03F007A8" w:rsidR="006D7C00" w:rsidRPr="00E271E1" w:rsidRDefault="006D7C00" w:rsidP="00DB1E32">
      <w:pPr>
        <w:spacing w:line="276" w:lineRule="auto"/>
        <w:jc w:val="both"/>
        <w:rPr>
          <w:rFonts w:cstheme="majorBidi"/>
        </w:rPr>
      </w:pPr>
      <w:r w:rsidRPr="00E271E1">
        <w:rPr>
          <w:rFonts w:cstheme="majorBidi"/>
        </w:rPr>
        <w:t xml:space="preserve">By developing a calibrated finite element model for the notional bridge </w:t>
      </w:r>
      <w:r w:rsidR="00C36AEB">
        <w:rPr>
          <w:rFonts w:cstheme="majorBidi"/>
        </w:rPr>
        <w:t xml:space="preserve">representing </w:t>
      </w:r>
      <w:r w:rsidRPr="00E271E1">
        <w:rPr>
          <w:rFonts w:cstheme="majorBidi"/>
        </w:rPr>
        <w:t xml:space="preserve">each group, the analysis results such as the ultimate load-carrying capacity and maximum deflection </w:t>
      </w:r>
      <w:r w:rsidR="00C36AEB">
        <w:rPr>
          <w:rFonts w:cstheme="majorBidi"/>
        </w:rPr>
        <w:t>can</w:t>
      </w:r>
      <w:r w:rsidRPr="00E271E1">
        <w:rPr>
          <w:rFonts w:cstheme="majorBidi"/>
        </w:rPr>
        <w:t xml:space="preserve"> be </w:t>
      </w:r>
      <w:r w:rsidR="00C36AEB">
        <w:rPr>
          <w:rFonts w:cstheme="majorBidi"/>
        </w:rPr>
        <w:t>calculated</w:t>
      </w:r>
      <w:r w:rsidRPr="00E271E1">
        <w:rPr>
          <w:rFonts w:cstheme="majorBidi"/>
        </w:rPr>
        <w:t xml:space="preserve"> to check against redundancy criteria. As a result, if the notional bridge model satisfies the redundancy criteria and is classified as redundant, all the bridges within th</w:t>
      </w:r>
      <w:r w:rsidR="00C36AEB">
        <w:rPr>
          <w:rFonts w:cstheme="majorBidi"/>
        </w:rPr>
        <w:t>at</w:t>
      </w:r>
      <w:r w:rsidRPr="00E271E1">
        <w:rPr>
          <w:rFonts w:cstheme="majorBidi"/>
        </w:rPr>
        <w:t xml:space="preserve"> group will also </w:t>
      </w:r>
      <w:r w:rsidR="00C36AEB">
        <w:rPr>
          <w:rFonts w:cstheme="majorBidi"/>
        </w:rPr>
        <w:t>be categorized as redundant</w:t>
      </w:r>
      <w:r w:rsidRPr="00E271E1">
        <w:rPr>
          <w:rFonts w:cstheme="majorBidi"/>
        </w:rPr>
        <w:t xml:space="preserve">. If the criteria are not satisfied, bridges </w:t>
      </w:r>
      <w:r w:rsidR="00C36AEB">
        <w:rPr>
          <w:rFonts w:cstheme="majorBidi"/>
        </w:rPr>
        <w:t xml:space="preserve">in that group </w:t>
      </w:r>
      <w:r w:rsidRPr="00E271E1">
        <w:rPr>
          <w:rFonts w:cstheme="majorBidi"/>
        </w:rPr>
        <w:t>can be divided into smalle</w:t>
      </w:r>
      <w:r w:rsidR="00D8399D" w:rsidRPr="00E271E1">
        <w:rPr>
          <w:rFonts w:cstheme="majorBidi"/>
        </w:rPr>
        <w:t xml:space="preserve">r </w:t>
      </w:r>
      <w:r w:rsidR="00C36AEB">
        <w:rPr>
          <w:rFonts w:cstheme="majorBidi"/>
        </w:rPr>
        <w:t>sub</w:t>
      </w:r>
      <w:r w:rsidR="00D8399D" w:rsidRPr="00E271E1">
        <w:rPr>
          <w:rFonts w:cstheme="majorBidi"/>
        </w:rPr>
        <w:t>groups and the process to find a group which meet th</w:t>
      </w:r>
      <w:r w:rsidR="00D225B0" w:rsidRPr="00E271E1">
        <w:rPr>
          <w:rFonts w:cstheme="majorBidi"/>
        </w:rPr>
        <w:t>e redundancy criteria</w:t>
      </w:r>
      <w:r w:rsidR="00C36AEB">
        <w:rPr>
          <w:rFonts w:cstheme="majorBidi"/>
        </w:rPr>
        <w:t xml:space="preserve"> can be repeated</w:t>
      </w:r>
      <w:r w:rsidR="00D225B0" w:rsidRPr="00E271E1">
        <w:rPr>
          <w:rFonts w:cstheme="majorBidi"/>
        </w:rPr>
        <w:t>. Th</w:t>
      </w:r>
      <w:r w:rsidR="006964C8" w:rsidRPr="00E271E1">
        <w:rPr>
          <w:rFonts w:cstheme="majorBidi"/>
        </w:rPr>
        <w:t xml:space="preserve">is approach </w:t>
      </w:r>
      <w:r w:rsidR="00D225B0" w:rsidRPr="00E271E1">
        <w:rPr>
          <w:rFonts w:cstheme="majorBidi"/>
        </w:rPr>
        <w:t xml:space="preserve">has the </w:t>
      </w:r>
      <w:r w:rsidR="00606B78">
        <w:rPr>
          <w:rFonts w:cstheme="majorBidi"/>
        </w:rPr>
        <w:t xml:space="preserve">potential </w:t>
      </w:r>
      <w:r w:rsidR="00D225B0" w:rsidRPr="00E271E1">
        <w:rPr>
          <w:rFonts w:cstheme="majorBidi"/>
        </w:rPr>
        <w:t xml:space="preserve">ability to </w:t>
      </w:r>
      <w:r w:rsidR="00D8399D" w:rsidRPr="00E271E1">
        <w:rPr>
          <w:rFonts w:cstheme="majorBidi"/>
        </w:rPr>
        <w:t>classify all the bridges into redundant or non-redundant groups.</w:t>
      </w:r>
    </w:p>
    <w:p w14:paraId="6DE9F2F8" w14:textId="77DE6A43" w:rsidR="00471119" w:rsidRPr="00E271E1" w:rsidRDefault="00471119" w:rsidP="00471119">
      <w:pPr>
        <w:jc w:val="both"/>
        <w:rPr>
          <w:rFonts w:cstheme="majorBidi"/>
        </w:rPr>
      </w:pPr>
    </w:p>
    <w:p w14:paraId="40B92C5C" w14:textId="4156C6F3" w:rsidR="00471119" w:rsidRPr="00E271E1" w:rsidRDefault="00471119" w:rsidP="007F1E8D">
      <w:pPr>
        <w:pStyle w:val="Heading2"/>
      </w:pPr>
      <w:bookmarkStart w:id="4" w:name="_Toc7519833"/>
      <w:r w:rsidRPr="00E271E1">
        <w:t>Florida Bridge Inventory</w:t>
      </w:r>
      <w:bookmarkEnd w:id="4"/>
    </w:p>
    <w:p w14:paraId="454562F3" w14:textId="1FA807F6" w:rsidR="00471119" w:rsidRPr="00E271E1" w:rsidRDefault="00606B78" w:rsidP="00DB1E32">
      <w:pPr>
        <w:spacing w:line="276" w:lineRule="auto"/>
        <w:jc w:val="both"/>
        <w:rPr>
          <w:rFonts w:cstheme="majorBidi"/>
        </w:rPr>
      </w:pPr>
      <w:r>
        <w:rPr>
          <w:rFonts w:cstheme="majorBidi"/>
        </w:rPr>
        <w:t xml:space="preserve">At the request of FIU researchers, FDOT Research Office provided </w:t>
      </w:r>
      <w:r w:rsidR="00C36AEB">
        <w:rPr>
          <w:rFonts w:cstheme="majorBidi"/>
        </w:rPr>
        <w:t xml:space="preserve">an </w:t>
      </w:r>
      <w:r>
        <w:rPr>
          <w:rFonts w:cstheme="majorBidi"/>
        </w:rPr>
        <w:t xml:space="preserve">inventory of steel box girder bridges in the state of Florida.  </w:t>
      </w:r>
      <w:r w:rsidR="00C36AEB">
        <w:rPr>
          <w:rFonts w:cstheme="majorBidi"/>
        </w:rPr>
        <w:t>As it was stated earlier, t</w:t>
      </w:r>
      <w:r>
        <w:rPr>
          <w:rFonts w:cstheme="majorBidi"/>
        </w:rPr>
        <w:t>he functional and geometric parameters</w:t>
      </w:r>
      <w:r w:rsidR="008644D8" w:rsidRPr="0047480A">
        <w:rPr>
          <w:rFonts w:cstheme="majorBidi"/>
        </w:rPr>
        <w:t xml:space="preserve"> of bridge</w:t>
      </w:r>
      <w:r w:rsidR="00466BE2">
        <w:rPr>
          <w:rFonts w:cstheme="majorBidi"/>
        </w:rPr>
        <w:t>s</w:t>
      </w:r>
      <w:r w:rsidR="008644D8" w:rsidRPr="0047480A">
        <w:rPr>
          <w:rFonts w:cstheme="majorBidi"/>
        </w:rPr>
        <w:t xml:space="preserve"> that have an effect on </w:t>
      </w:r>
      <w:r w:rsidR="008644D8" w:rsidRPr="00E271E1">
        <w:rPr>
          <w:rFonts w:cstheme="majorBidi"/>
        </w:rPr>
        <w:t>the ultimate load-carrying capacity and maximum deflection</w:t>
      </w:r>
      <w:r w:rsidR="008644D8">
        <w:rPr>
          <w:rFonts w:cstheme="majorBidi"/>
        </w:rPr>
        <w:t xml:space="preserve"> need to be</w:t>
      </w:r>
      <w:r w:rsidR="00466BE2">
        <w:rPr>
          <w:rFonts w:cstheme="majorBidi"/>
        </w:rPr>
        <w:t xml:space="preserve"> </w:t>
      </w:r>
      <w:r w:rsidR="00C36AEB">
        <w:rPr>
          <w:rFonts w:cstheme="majorBidi"/>
        </w:rPr>
        <w:t>considered</w:t>
      </w:r>
      <w:r w:rsidR="00466BE2">
        <w:rPr>
          <w:rFonts w:cstheme="majorBidi"/>
        </w:rPr>
        <w:t xml:space="preserve"> for</w:t>
      </w:r>
      <w:r w:rsidR="008644D8">
        <w:rPr>
          <w:rFonts w:cstheme="majorBidi"/>
        </w:rPr>
        <w:t xml:space="preserve"> </w:t>
      </w:r>
      <w:r w:rsidR="008644D8" w:rsidRPr="00E271E1">
        <w:rPr>
          <w:rFonts w:cstheme="majorBidi"/>
        </w:rPr>
        <w:t xml:space="preserve">developing notional </w:t>
      </w:r>
      <w:r w:rsidR="00C36AEB">
        <w:rPr>
          <w:rFonts w:cstheme="majorBidi"/>
        </w:rPr>
        <w:t xml:space="preserve">bridge for each </w:t>
      </w:r>
      <w:r w:rsidR="008644D8" w:rsidRPr="00E271E1">
        <w:rPr>
          <w:rFonts w:cstheme="majorBidi"/>
        </w:rPr>
        <w:t>group</w:t>
      </w:r>
      <w:r w:rsidR="00C36AEB">
        <w:rPr>
          <w:rFonts w:cstheme="majorBidi"/>
        </w:rPr>
        <w:t xml:space="preserve"> of bridges in the inventory</w:t>
      </w:r>
      <w:r>
        <w:rPr>
          <w:rFonts w:cstheme="majorBidi"/>
        </w:rPr>
        <w:t>.</w:t>
      </w:r>
      <w:r w:rsidR="008644D8">
        <w:rPr>
          <w:rFonts w:cstheme="majorBidi"/>
        </w:rPr>
        <w:t xml:space="preserve"> </w:t>
      </w:r>
      <w:r>
        <w:rPr>
          <w:rFonts w:cstheme="majorBidi"/>
        </w:rPr>
        <w:t>A</w:t>
      </w:r>
      <w:r w:rsidR="008644D8">
        <w:rPr>
          <w:rFonts w:cstheme="majorBidi"/>
        </w:rPr>
        <w:t xml:space="preserve">s a results, </w:t>
      </w:r>
      <w:r w:rsidR="00471119" w:rsidRPr="00E271E1">
        <w:rPr>
          <w:rFonts w:cstheme="majorBidi"/>
        </w:rPr>
        <w:t xml:space="preserve">Florida Bridge Inventory </w:t>
      </w:r>
      <w:r>
        <w:rPr>
          <w:rFonts w:cstheme="majorBidi"/>
        </w:rPr>
        <w:t>wa</w:t>
      </w:r>
      <w:r w:rsidR="00471119" w:rsidRPr="00E271E1">
        <w:rPr>
          <w:rFonts w:cstheme="majorBidi"/>
        </w:rPr>
        <w:t>s stati</w:t>
      </w:r>
      <w:r w:rsidR="00C36AEB">
        <w:rPr>
          <w:rFonts w:cstheme="majorBidi"/>
        </w:rPr>
        <w:t>sti</w:t>
      </w:r>
      <w:r w:rsidR="00471119" w:rsidRPr="00E271E1">
        <w:rPr>
          <w:rFonts w:cstheme="majorBidi"/>
        </w:rPr>
        <w:t xml:space="preserve">cally analyzed to determine the available range of each </w:t>
      </w:r>
      <w:r>
        <w:rPr>
          <w:rFonts w:cstheme="majorBidi"/>
        </w:rPr>
        <w:t xml:space="preserve">functional and </w:t>
      </w:r>
      <w:r w:rsidR="00471119" w:rsidRPr="00E271E1">
        <w:rPr>
          <w:rFonts w:cstheme="majorBidi"/>
        </w:rPr>
        <w:t>geometr</w:t>
      </w:r>
      <w:r>
        <w:rPr>
          <w:rFonts w:cstheme="majorBidi"/>
        </w:rPr>
        <w:t>ic</w:t>
      </w:r>
      <w:r w:rsidR="00471119" w:rsidRPr="00E271E1">
        <w:rPr>
          <w:rFonts w:cstheme="majorBidi"/>
        </w:rPr>
        <w:t xml:space="preserve"> </w:t>
      </w:r>
      <w:r>
        <w:rPr>
          <w:rFonts w:cstheme="majorBidi"/>
        </w:rPr>
        <w:t>parameter</w:t>
      </w:r>
      <w:r w:rsidR="00C91F15">
        <w:rPr>
          <w:rFonts w:cstheme="majorBidi"/>
        </w:rPr>
        <w:t>.</w:t>
      </w:r>
      <w:r w:rsidR="00471119" w:rsidRPr="00E271E1">
        <w:rPr>
          <w:rFonts w:cstheme="majorBidi"/>
        </w:rPr>
        <w:t xml:space="preserve"> </w:t>
      </w:r>
      <w:r w:rsidR="00ED7C54" w:rsidRPr="00E271E1">
        <w:rPr>
          <w:rFonts w:cstheme="majorBidi"/>
        </w:rPr>
        <w:t xml:space="preserve">According to the Florida Bridge Inventory, </w:t>
      </w:r>
      <w:r w:rsidR="00C36AEB">
        <w:rPr>
          <w:rFonts w:cstheme="majorBidi"/>
        </w:rPr>
        <w:t xml:space="preserve">as of </w:t>
      </w:r>
      <w:r w:rsidR="00A33B81">
        <w:rPr>
          <w:rFonts w:cstheme="majorBidi"/>
        </w:rPr>
        <w:t>2016</w:t>
      </w:r>
      <w:r w:rsidR="00C36AEB">
        <w:rPr>
          <w:rFonts w:cstheme="majorBidi"/>
        </w:rPr>
        <w:t xml:space="preserve">, </w:t>
      </w:r>
      <w:r w:rsidR="00327CCD">
        <w:rPr>
          <w:rFonts w:cstheme="majorBidi"/>
        </w:rPr>
        <w:t>t</w:t>
      </w:r>
      <w:r w:rsidR="00327CCD" w:rsidRPr="00327CCD">
        <w:rPr>
          <w:rFonts w:cstheme="majorBidi"/>
        </w:rPr>
        <w:t>here are approximately 12,900 bridges in Florida</w:t>
      </w:r>
      <w:r w:rsidR="00973C59">
        <w:rPr>
          <w:rFonts w:cstheme="majorBidi"/>
        </w:rPr>
        <w:t xml:space="preserve"> including</w:t>
      </w:r>
      <w:r w:rsidR="00327CCD" w:rsidRPr="00327CCD">
        <w:rPr>
          <w:rFonts w:cstheme="majorBidi"/>
        </w:rPr>
        <w:t xml:space="preserve"> 1200 steel bridges</w:t>
      </w:r>
      <w:r w:rsidR="00973C59">
        <w:rPr>
          <w:rFonts w:cstheme="majorBidi"/>
        </w:rPr>
        <w:t>,</w:t>
      </w:r>
      <w:r w:rsidR="00327CCD" w:rsidRPr="00327CCD">
        <w:rPr>
          <w:rFonts w:cstheme="majorBidi"/>
        </w:rPr>
        <w:t xml:space="preserve"> of which 140 are steel box girder bridges</w:t>
      </w:r>
      <w:r w:rsidR="001B006F" w:rsidRPr="001B006F">
        <w:t xml:space="preserve"> </w:t>
      </w:r>
      <w:r w:rsidR="00973C59">
        <w:rPr>
          <w:rFonts w:cstheme="majorBidi"/>
        </w:rPr>
        <w:t>with</w:t>
      </w:r>
      <w:r w:rsidR="001B006F" w:rsidRPr="001B006F">
        <w:rPr>
          <w:rFonts w:cstheme="majorBidi"/>
        </w:rPr>
        <w:t xml:space="preserve"> the majority </w:t>
      </w:r>
      <w:r w:rsidR="00973C59">
        <w:rPr>
          <w:rFonts w:cstheme="majorBidi"/>
        </w:rPr>
        <w:t>being</w:t>
      </w:r>
      <w:r w:rsidR="001B006F" w:rsidRPr="001B006F">
        <w:rPr>
          <w:rFonts w:cstheme="majorBidi"/>
        </w:rPr>
        <w:t xml:space="preserve"> </w:t>
      </w:r>
      <w:r w:rsidR="00454792">
        <w:rPr>
          <w:rFonts w:cstheme="majorBidi"/>
        </w:rPr>
        <w:t>two</w:t>
      </w:r>
      <w:r w:rsidR="00454792" w:rsidRPr="001B006F">
        <w:rPr>
          <w:rFonts w:cstheme="majorBidi"/>
        </w:rPr>
        <w:t xml:space="preserve"> </w:t>
      </w:r>
      <w:r w:rsidR="001B006F" w:rsidRPr="001B006F">
        <w:rPr>
          <w:rFonts w:cstheme="majorBidi"/>
        </w:rPr>
        <w:t>box girder</w:t>
      </w:r>
      <w:r w:rsidR="00973C59">
        <w:rPr>
          <w:rFonts w:cstheme="majorBidi"/>
        </w:rPr>
        <w:t xml:space="preserve"> bridges.</w:t>
      </w:r>
      <w:r w:rsidR="00327CCD" w:rsidRPr="00327CCD">
        <w:rPr>
          <w:rFonts w:cstheme="majorBidi"/>
        </w:rPr>
        <w:t xml:space="preserve"> 390 </w:t>
      </w:r>
      <w:r w:rsidR="00973C59">
        <w:rPr>
          <w:rFonts w:cstheme="majorBidi"/>
        </w:rPr>
        <w:t xml:space="preserve">steel </w:t>
      </w:r>
      <w:r w:rsidR="00327CCD" w:rsidRPr="00327CCD">
        <w:rPr>
          <w:rFonts w:cstheme="majorBidi"/>
        </w:rPr>
        <w:t xml:space="preserve">bridges currently </w:t>
      </w:r>
      <w:r w:rsidR="00973C59">
        <w:rPr>
          <w:rFonts w:cstheme="majorBidi"/>
        </w:rPr>
        <w:t xml:space="preserve">are </w:t>
      </w:r>
      <w:r w:rsidR="00327CCD" w:rsidRPr="00327CCD">
        <w:rPr>
          <w:rFonts w:cstheme="majorBidi"/>
        </w:rPr>
        <w:t>c</w:t>
      </w:r>
      <w:r w:rsidR="007C4BD6">
        <w:rPr>
          <w:rFonts w:cstheme="majorBidi"/>
        </w:rPr>
        <w:t xml:space="preserve">lassified as Fracture Critical. </w:t>
      </w:r>
      <w:r w:rsidR="00023264">
        <w:rPr>
          <w:rFonts w:cstheme="majorBidi"/>
        </w:rPr>
        <w:fldChar w:fldCharType="begin"/>
      </w:r>
      <w:r w:rsidR="00023264">
        <w:rPr>
          <w:rFonts w:cstheme="majorBidi"/>
        </w:rPr>
        <w:instrText xml:space="preserve"> REF _Ref531349476 \h  \* MERGEFORMAT </w:instrText>
      </w:r>
      <w:r w:rsidR="00023264">
        <w:rPr>
          <w:rFonts w:cstheme="majorBidi"/>
        </w:rPr>
      </w:r>
      <w:r w:rsidR="00023264">
        <w:rPr>
          <w:rFonts w:cstheme="majorBidi"/>
        </w:rPr>
        <w:fldChar w:fldCharType="separate"/>
      </w:r>
      <w:r w:rsidR="00BF057C" w:rsidRPr="00BF057C">
        <w:rPr>
          <w:rFonts w:cstheme="majorBidi"/>
        </w:rPr>
        <w:t>Table 1</w:t>
      </w:r>
      <w:r w:rsidR="00023264">
        <w:rPr>
          <w:rFonts w:cstheme="majorBidi"/>
        </w:rPr>
        <w:fldChar w:fldCharType="end"/>
      </w:r>
      <w:r w:rsidR="004D5B7E">
        <w:rPr>
          <w:rFonts w:cstheme="majorBidi"/>
        </w:rPr>
        <w:t xml:space="preserve"> and </w:t>
      </w:r>
      <w:r w:rsidR="004D5B7E">
        <w:rPr>
          <w:rFonts w:cstheme="majorBidi"/>
        </w:rPr>
        <w:fldChar w:fldCharType="begin"/>
      </w:r>
      <w:r w:rsidR="004D5B7E">
        <w:rPr>
          <w:rFonts w:cstheme="majorBidi"/>
        </w:rPr>
        <w:instrText xml:space="preserve"> REF _Ref533110700 \h </w:instrText>
      </w:r>
      <w:r w:rsidR="00DB1E32">
        <w:rPr>
          <w:rFonts w:cstheme="majorBidi"/>
        </w:rPr>
        <w:instrText xml:space="preserve"> \* MERGEFORMAT </w:instrText>
      </w:r>
      <w:r w:rsidR="004D5B7E">
        <w:rPr>
          <w:rFonts w:cstheme="majorBidi"/>
        </w:rPr>
      </w:r>
      <w:r w:rsidR="004D5B7E">
        <w:rPr>
          <w:rFonts w:cstheme="majorBidi"/>
        </w:rPr>
        <w:fldChar w:fldCharType="separate"/>
      </w:r>
      <w:r w:rsidR="00BF057C">
        <w:t xml:space="preserve">Figure </w:t>
      </w:r>
      <w:r w:rsidR="00BF057C">
        <w:rPr>
          <w:noProof/>
        </w:rPr>
        <w:t>1</w:t>
      </w:r>
      <w:r w:rsidR="004D5B7E">
        <w:rPr>
          <w:rFonts w:cstheme="majorBidi"/>
        </w:rPr>
        <w:fldChar w:fldCharType="end"/>
      </w:r>
      <w:r w:rsidR="00023264">
        <w:rPr>
          <w:rFonts w:cstheme="majorBidi"/>
        </w:rPr>
        <w:t xml:space="preserve"> </w:t>
      </w:r>
      <w:r w:rsidR="00973C59">
        <w:rPr>
          <w:rFonts w:cstheme="majorBidi"/>
        </w:rPr>
        <w:t>s</w:t>
      </w:r>
      <w:r w:rsidR="00E271E1" w:rsidRPr="00E271E1">
        <w:rPr>
          <w:rFonts w:cstheme="majorBidi"/>
        </w:rPr>
        <w:t>how distribution of bridge</w:t>
      </w:r>
      <w:r w:rsidR="00973C59">
        <w:rPr>
          <w:rFonts w:cstheme="majorBidi"/>
        </w:rPr>
        <w:t>s</w:t>
      </w:r>
      <w:r w:rsidR="00E271E1" w:rsidRPr="00E271E1">
        <w:rPr>
          <w:rFonts w:cstheme="majorBidi"/>
        </w:rPr>
        <w:t xml:space="preserve"> based on the </w:t>
      </w:r>
      <w:r w:rsidR="00E271E1" w:rsidRPr="00E271E1">
        <w:rPr>
          <w:rFonts w:cstheme="majorBidi"/>
        </w:rPr>
        <w:lastRenderedPageBreak/>
        <w:t>number of box girder</w:t>
      </w:r>
      <w:r w:rsidR="00807705">
        <w:rPr>
          <w:rFonts w:cstheme="majorBidi"/>
        </w:rPr>
        <w:t xml:space="preserve"> that varies from single girder to nine girders</w:t>
      </w:r>
      <w:r w:rsidR="00E271E1" w:rsidRPr="00E271E1">
        <w:rPr>
          <w:rFonts w:cstheme="majorBidi"/>
        </w:rPr>
        <w:t>.</w:t>
      </w:r>
      <w:r w:rsidR="00582B38" w:rsidRPr="00E271E1">
        <w:rPr>
          <w:rFonts w:cstheme="majorBidi"/>
        </w:rPr>
        <w:t xml:space="preserve"> </w:t>
      </w:r>
      <w:r w:rsidR="00ED7C54" w:rsidRPr="00E271E1">
        <w:rPr>
          <w:rFonts w:cstheme="majorBidi"/>
        </w:rPr>
        <w:t xml:space="preserve">Single box girder bridges, regardless of their configurations, are classified as </w:t>
      </w:r>
      <w:r w:rsidR="00C36AEB">
        <w:rPr>
          <w:rFonts w:cstheme="majorBidi"/>
        </w:rPr>
        <w:t xml:space="preserve">fracture critical </w:t>
      </w:r>
      <w:r w:rsidR="00ED7C54" w:rsidRPr="00E271E1">
        <w:rPr>
          <w:rFonts w:cstheme="majorBidi"/>
        </w:rPr>
        <w:t>bridges and are exclude</w:t>
      </w:r>
      <w:r w:rsidR="00973C59">
        <w:rPr>
          <w:rFonts w:cstheme="majorBidi"/>
        </w:rPr>
        <w:t>d</w:t>
      </w:r>
      <w:r w:rsidR="00ED7C54" w:rsidRPr="00E271E1">
        <w:rPr>
          <w:rFonts w:cstheme="majorBidi"/>
        </w:rPr>
        <w:t xml:space="preserve"> from this study</w:t>
      </w:r>
      <w:r w:rsidR="00807705">
        <w:rPr>
          <w:rFonts w:cstheme="majorBidi"/>
        </w:rPr>
        <w:t xml:space="preserve">.  </w:t>
      </w:r>
      <w:r w:rsidR="00973C59">
        <w:rPr>
          <w:rFonts w:cstheme="majorBidi"/>
        </w:rPr>
        <w:t>If</w:t>
      </w:r>
      <w:r w:rsidR="00582B38" w:rsidRPr="00E271E1">
        <w:rPr>
          <w:rFonts w:cstheme="majorBidi"/>
        </w:rPr>
        <w:t xml:space="preserve"> a </w:t>
      </w:r>
      <w:r w:rsidR="00454792">
        <w:rPr>
          <w:rFonts w:cstheme="majorBidi"/>
        </w:rPr>
        <w:t xml:space="preserve">two </w:t>
      </w:r>
      <w:r w:rsidR="008644D8">
        <w:rPr>
          <w:rFonts w:cstheme="majorBidi"/>
        </w:rPr>
        <w:t>steel box girder</w:t>
      </w:r>
      <w:r w:rsidR="00973C59">
        <w:rPr>
          <w:rFonts w:cstheme="majorBidi"/>
        </w:rPr>
        <w:t xml:space="preserve"> bridge</w:t>
      </w:r>
      <w:r w:rsidR="008644D8">
        <w:rPr>
          <w:rFonts w:cstheme="majorBidi"/>
        </w:rPr>
        <w:t xml:space="preserve"> group </w:t>
      </w:r>
      <w:r w:rsidR="00973C59">
        <w:rPr>
          <w:rFonts w:cstheme="majorBidi"/>
        </w:rPr>
        <w:t>is determined to be</w:t>
      </w:r>
      <w:r w:rsidR="008644D8">
        <w:rPr>
          <w:rFonts w:cstheme="majorBidi"/>
        </w:rPr>
        <w:t xml:space="preserve"> </w:t>
      </w:r>
      <w:r w:rsidR="00582B38" w:rsidRPr="00E271E1">
        <w:rPr>
          <w:rFonts w:cstheme="majorBidi"/>
        </w:rPr>
        <w:t>redundant</w:t>
      </w:r>
      <w:r w:rsidR="00973C59">
        <w:rPr>
          <w:rFonts w:cstheme="majorBidi"/>
        </w:rPr>
        <w:t>,</w:t>
      </w:r>
      <w:r w:rsidR="00582B38" w:rsidRPr="00E271E1">
        <w:rPr>
          <w:rFonts w:cstheme="majorBidi"/>
        </w:rPr>
        <w:t xml:space="preserve"> </w:t>
      </w:r>
      <w:r w:rsidR="00973C59">
        <w:rPr>
          <w:rFonts w:cstheme="majorBidi"/>
        </w:rPr>
        <w:t>bridges with</w:t>
      </w:r>
      <w:r w:rsidR="00582B38" w:rsidRPr="00E271E1">
        <w:rPr>
          <w:rFonts w:cstheme="majorBidi"/>
        </w:rPr>
        <w:t xml:space="preserve"> three or more box-girders with the same characteristic would be </w:t>
      </w:r>
      <w:r w:rsidR="00973C59">
        <w:rPr>
          <w:rFonts w:cstheme="majorBidi"/>
        </w:rPr>
        <w:t xml:space="preserve">automatically determined to be </w:t>
      </w:r>
      <w:r w:rsidR="00582B38" w:rsidRPr="00E271E1">
        <w:rPr>
          <w:rFonts w:cstheme="majorBidi"/>
        </w:rPr>
        <w:t>redundant</w:t>
      </w:r>
      <w:r w:rsidR="00973C59">
        <w:rPr>
          <w:rFonts w:cstheme="majorBidi"/>
        </w:rPr>
        <w:t>.</w:t>
      </w:r>
      <w:r w:rsidR="00C91F15">
        <w:rPr>
          <w:rFonts w:cstheme="majorBidi"/>
        </w:rPr>
        <w:t xml:space="preserve"> </w:t>
      </w:r>
      <w:r w:rsidR="00973C59">
        <w:rPr>
          <w:rFonts w:cstheme="majorBidi"/>
        </w:rPr>
        <w:t>Hence,</w:t>
      </w:r>
      <w:r w:rsidR="00C91F15">
        <w:rPr>
          <w:rFonts w:cstheme="majorBidi"/>
        </w:rPr>
        <w:t xml:space="preserve"> s</w:t>
      </w:r>
      <w:r w:rsidR="00C91F15" w:rsidRPr="00C91F15">
        <w:rPr>
          <w:rFonts w:cstheme="majorBidi"/>
        </w:rPr>
        <w:t>tatistical analysis of the inventory</w:t>
      </w:r>
      <w:r w:rsidR="00C91F15">
        <w:rPr>
          <w:rFonts w:cstheme="majorBidi"/>
        </w:rPr>
        <w:t xml:space="preserve"> </w:t>
      </w:r>
      <w:r w:rsidR="00C36AEB">
        <w:rPr>
          <w:rFonts w:cstheme="majorBidi"/>
        </w:rPr>
        <w:t>in this study</w:t>
      </w:r>
      <w:r w:rsidR="00973C59">
        <w:rPr>
          <w:rFonts w:cstheme="majorBidi"/>
        </w:rPr>
        <w:t xml:space="preserve"> will be performed</w:t>
      </w:r>
      <w:r w:rsidR="00C91F15">
        <w:rPr>
          <w:rFonts w:cstheme="majorBidi"/>
        </w:rPr>
        <w:t xml:space="preserve"> over all available </w:t>
      </w:r>
      <w:r w:rsidR="00454792">
        <w:rPr>
          <w:rFonts w:cstheme="majorBidi"/>
        </w:rPr>
        <w:t xml:space="preserve">two </w:t>
      </w:r>
      <w:r w:rsidR="00C91F15">
        <w:rPr>
          <w:rFonts w:cstheme="majorBidi"/>
        </w:rPr>
        <w:t>box</w:t>
      </w:r>
      <w:r w:rsidR="00C36AEB">
        <w:rPr>
          <w:rFonts w:cstheme="majorBidi"/>
        </w:rPr>
        <w:t xml:space="preserve"> </w:t>
      </w:r>
      <w:r w:rsidR="00C91F15">
        <w:rPr>
          <w:rFonts w:cstheme="majorBidi"/>
        </w:rPr>
        <w:t>girder bridges.</w:t>
      </w:r>
      <w:r w:rsidR="00327CCD">
        <w:rPr>
          <w:rFonts w:cstheme="majorBidi"/>
        </w:rPr>
        <w:t xml:space="preserve"> Detail</w:t>
      </w:r>
      <w:r w:rsidR="00C36AEB">
        <w:rPr>
          <w:rFonts w:cstheme="majorBidi"/>
        </w:rPr>
        <w:t>ed information</w:t>
      </w:r>
      <w:r w:rsidR="00475F79">
        <w:rPr>
          <w:rFonts w:cstheme="majorBidi"/>
        </w:rPr>
        <w:t xml:space="preserve"> obtained from</w:t>
      </w:r>
      <w:r w:rsidR="00327CCD">
        <w:rPr>
          <w:rFonts w:cstheme="majorBidi"/>
        </w:rPr>
        <w:t xml:space="preserve"> Florida Bridge Inventory is </w:t>
      </w:r>
      <w:r w:rsidR="00B171C3">
        <w:rPr>
          <w:rFonts w:cstheme="majorBidi"/>
        </w:rPr>
        <w:t>presented</w:t>
      </w:r>
      <w:r w:rsidR="00327CCD">
        <w:rPr>
          <w:rFonts w:cstheme="majorBidi"/>
        </w:rPr>
        <w:t xml:space="preserve"> in Appendix A.</w:t>
      </w:r>
    </w:p>
    <w:p w14:paraId="11F1D1C2" w14:textId="77777777" w:rsidR="00471119" w:rsidRPr="00E271E1" w:rsidRDefault="00471119" w:rsidP="00471119">
      <w:pPr>
        <w:rPr>
          <w:rFonts w:cstheme="majorBidi"/>
        </w:rPr>
      </w:pPr>
    </w:p>
    <w:p w14:paraId="0508ABEA" w14:textId="65901A31" w:rsidR="00471119" w:rsidRPr="00E271E1" w:rsidRDefault="00471119" w:rsidP="00471119">
      <w:pPr>
        <w:pStyle w:val="Caption"/>
        <w:keepNext/>
        <w:jc w:val="center"/>
        <w:rPr>
          <w:rFonts w:asciiTheme="majorBidi" w:hAnsiTheme="majorBidi" w:cstheme="majorBidi"/>
          <w:color w:val="000000" w:themeColor="text1"/>
        </w:rPr>
      </w:pPr>
      <w:bookmarkStart w:id="5" w:name="_Ref531349476"/>
      <w:bookmarkStart w:id="6" w:name="_Toc7519872"/>
      <w:r w:rsidRPr="00E271E1">
        <w:rPr>
          <w:rFonts w:asciiTheme="majorBidi" w:hAnsiTheme="majorBidi" w:cstheme="majorBidi"/>
          <w:color w:val="000000" w:themeColor="text1"/>
        </w:rPr>
        <w:t xml:space="preserve">Table </w:t>
      </w:r>
      <w:r w:rsidRPr="00E271E1">
        <w:rPr>
          <w:rFonts w:asciiTheme="majorBidi" w:hAnsiTheme="majorBidi" w:cstheme="majorBidi"/>
          <w:color w:val="000000" w:themeColor="text1"/>
        </w:rPr>
        <w:fldChar w:fldCharType="begin"/>
      </w:r>
      <w:r w:rsidRPr="00E271E1">
        <w:rPr>
          <w:rFonts w:asciiTheme="majorBidi" w:hAnsiTheme="majorBidi" w:cstheme="majorBidi"/>
          <w:color w:val="000000" w:themeColor="text1"/>
        </w:rPr>
        <w:instrText xml:space="preserve"> SEQ Table \* ARABIC </w:instrText>
      </w:r>
      <w:r w:rsidRPr="00E271E1">
        <w:rPr>
          <w:rFonts w:asciiTheme="majorBidi" w:hAnsiTheme="majorBidi" w:cstheme="majorBidi"/>
          <w:color w:val="000000" w:themeColor="text1"/>
        </w:rPr>
        <w:fldChar w:fldCharType="separate"/>
      </w:r>
      <w:r w:rsidR="00BF057C">
        <w:rPr>
          <w:rFonts w:asciiTheme="majorBidi" w:hAnsiTheme="majorBidi" w:cstheme="majorBidi"/>
          <w:noProof/>
          <w:color w:val="000000" w:themeColor="text1"/>
        </w:rPr>
        <w:t>1</w:t>
      </w:r>
      <w:r w:rsidRPr="00E271E1">
        <w:rPr>
          <w:rFonts w:asciiTheme="majorBidi" w:hAnsiTheme="majorBidi" w:cstheme="majorBidi"/>
          <w:noProof/>
          <w:color w:val="000000" w:themeColor="text1"/>
        </w:rPr>
        <w:fldChar w:fldCharType="end"/>
      </w:r>
      <w:bookmarkEnd w:id="5"/>
      <w:r w:rsidR="00731DBA">
        <w:rPr>
          <w:rFonts w:asciiTheme="majorBidi" w:hAnsiTheme="majorBidi" w:cstheme="majorBidi"/>
          <w:color w:val="000000" w:themeColor="text1"/>
        </w:rPr>
        <w:t>- Distribution of bridge-Number of box g</w:t>
      </w:r>
      <w:r w:rsidRPr="00E271E1">
        <w:rPr>
          <w:rFonts w:asciiTheme="majorBidi" w:hAnsiTheme="majorBidi" w:cstheme="majorBidi"/>
          <w:color w:val="000000" w:themeColor="text1"/>
        </w:rPr>
        <w:t>irder</w:t>
      </w:r>
      <w:bookmarkEnd w:id="6"/>
    </w:p>
    <w:tbl>
      <w:tblPr>
        <w:tblW w:w="7555" w:type="dxa"/>
        <w:jc w:val="center"/>
        <w:tblLook w:val="04A0" w:firstRow="1" w:lastRow="0" w:firstColumn="1" w:lastColumn="0" w:noHBand="0" w:noVBand="1"/>
      </w:tblPr>
      <w:tblGrid>
        <w:gridCol w:w="2070"/>
        <w:gridCol w:w="820"/>
        <w:gridCol w:w="960"/>
        <w:gridCol w:w="960"/>
        <w:gridCol w:w="960"/>
        <w:gridCol w:w="975"/>
        <w:gridCol w:w="810"/>
      </w:tblGrid>
      <w:tr w:rsidR="00E271E1" w:rsidRPr="00E271E1" w14:paraId="50C6CDD2" w14:textId="77777777" w:rsidTr="00E271E1">
        <w:trPr>
          <w:trHeight w:val="341"/>
          <w:jc w:val="center"/>
        </w:trPr>
        <w:tc>
          <w:tcPr>
            <w:tcW w:w="2070" w:type="dxa"/>
            <w:tcBorders>
              <w:top w:val="single" w:sz="4" w:space="0" w:color="auto"/>
              <w:bottom w:val="single" w:sz="4" w:space="0" w:color="auto"/>
            </w:tcBorders>
            <w:shd w:val="clear" w:color="auto" w:fill="auto"/>
            <w:noWrap/>
            <w:vAlign w:val="center"/>
            <w:hideMark/>
          </w:tcPr>
          <w:p w14:paraId="38B7D878" w14:textId="34259B6B"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No. of Box Girder</w:t>
            </w:r>
            <w:r w:rsidR="009A4C86">
              <w:rPr>
                <w:rFonts w:eastAsia="Times New Roman" w:cstheme="majorBidi"/>
                <w:color w:val="000000"/>
                <w:sz w:val="22"/>
                <w:szCs w:val="22"/>
              </w:rPr>
              <w:t>s</w:t>
            </w:r>
          </w:p>
        </w:tc>
        <w:tc>
          <w:tcPr>
            <w:tcW w:w="820" w:type="dxa"/>
            <w:tcBorders>
              <w:top w:val="single" w:sz="4" w:space="0" w:color="auto"/>
              <w:bottom w:val="single" w:sz="4" w:space="0" w:color="auto"/>
            </w:tcBorders>
            <w:shd w:val="clear" w:color="auto" w:fill="auto"/>
            <w:noWrap/>
            <w:vAlign w:val="center"/>
            <w:hideMark/>
          </w:tcPr>
          <w:p w14:paraId="7FF850BA"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1</w:t>
            </w:r>
          </w:p>
        </w:tc>
        <w:tc>
          <w:tcPr>
            <w:tcW w:w="960" w:type="dxa"/>
            <w:tcBorders>
              <w:top w:val="single" w:sz="4" w:space="0" w:color="auto"/>
              <w:bottom w:val="single" w:sz="4" w:space="0" w:color="auto"/>
            </w:tcBorders>
            <w:shd w:val="clear" w:color="auto" w:fill="auto"/>
            <w:noWrap/>
            <w:vAlign w:val="center"/>
            <w:hideMark/>
          </w:tcPr>
          <w:p w14:paraId="743DE74E"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2</w:t>
            </w:r>
          </w:p>
        </w:tc>
        <w:tc>
          <w:tcPr>
            <w:tcW w:w="960" w:type="dxa"/>
            <w:tcBorders>
              <w:top w:val="single" w:sz="4" w:space="0" w:color="auto"/>
              <w:bottom w:val="single" w:sz="4" w:space="0" w:color="auto"/>
            </w:tcBorders>
            <w:shd w:val="clear" w:color="auto" w:fill="auto"/>
            <w:noWrap/>
            <w:vAlign w:val="center"/>
            <w:hideMark/>
          </w:tcPr>
          <w:p w14:paraId="05DF7F5E"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3</w:t>
            </w:r>
          </w:p>
        </w:tc>
        <w:tc>
          <w:tcPr>
            <w:tcW w:w="960" w:type="dxa"/>
            <w:tcBorders>
              <w:top w:val="single" w:sz="4" w:space="0" w:color="auto"/>
              <w:bottom w:val="single" w:sz="4" w:space="0" w:color="auto"/>
            </w:tcBorders>
            <w:shd w:val="clear" w:color="auto" w:fill="auto"/>
            <w:noWrap/>
            <w:vAlign w:val="center"/>
            <w:hideMark/>
          </w:tcPr>
          <w:p w14:paraId="6A25FF81"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4</w:t>
            </w:r>
          </w:p>
        </w:tc>
        <w:tc>
          <w:tcPr>
            <w:tcW w:w="975" w:type="dxa"/>
            <w:tcBorders>
              <w:top w:val="single" w:sz="4" w:space="0" w:color="auto"/>
              <w:bottom w:val="single" w:sz="4" w:space="0" w:color="auto"/>
            </w:tcBorders>
            <w:shd w:val="clear" w:color="auto" w:fill="auto"/>
            <w:noWrap/>
            <w:vAlign w:val="center"/>
            <w:hideMark/>
          </w:tcPr>
          <w:p w14:paraId="4EC7E735" w14:textId="54E39CCF" w:rsidR="00471119" w:rsidRPr="00E271E1" w:rsidRDefault="00EB2A92" w:rsidP="00CC38D2">
            <w:pPr>
              <w:spacing w:line="240" w:lineRule="auto"/>
              <w:jc w:val="center"/>
              <w:rPr>
                <w:rFonts w:eastAsia="Times New Roman" w:cstheme="majorBidi"/>
                <w:color w:val="000000"/>
                <w:sz w:val="22"/>
                <w:szCs w:val="22"/>
              </w:rPr>
            </w:pPr>
            <w:r>
              <w:rPr>
                <w:rFonts w:eastAsia="Times New Roman" w:cstheme="majorBidi"/>
                <w:color w:val="000000"/>
                <w:sz w:val="22"/>
                <w:szCs w:val="22"/>
              </w:rPr>
              <w:t>≥</w:t>
            </w:r>
            <w:r w:rsidR="00471119" w:rsidRPr="00E271E1">
              <w:rPr>
                <w:rFonts w:eastAsia="Times New Roman" w:cstheme="majorBidi"/>
                <w:color w:val="000000"/>
                <w:sz w:val="22"/>
                <w:szCs w:val="22"/>
              </w:rPr>
              <w:t xml:space="preserve">5 </w:t>
            </w:r>
          </w:p>
        </w:tc>
        <w:tc>
          <w:tcPr>
            <w:tcW w:w="810" w:type="dxa"/>
            <w:tcBorders>
              <w:top w:val="single" w:sz="4" w:space="0" w:color="auto"/>
              <w:bottom w:val="single" w:sz="4" w:space="0" w:color="auto"/>
            </w:tcBorders>
            <w:shd w:val="clear" w:color="auto" w:fill="auto"/>
            <w:noWrap/>
            <w:vAlign w:val="center"/>
            <w:hideMark/>
          </w:tcPr>
          <w:p w14:paraId="65FDB2F2"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Total</w:t>
            </w:r>
          </w:p>
        </w:tc>
      </w:tr>
      <w:tr w:rsidR="00471119" w:rsidRPr="00E271E1" w14:paraId="117C18A6" w14:textId="77777777" w:rsidTr="00E271E1">
        <w:trPr>
          <w:trHeight w:val="278"/>
          <w:jc w:val="center"/>
        </w:trPr>
        <w:tc>
          <w:tcPr>
            <w:tcW w:w="2070" w:type="dxa"/>
            <w:tcBorders>
              <w:top w:val="single" w:sz="4" w:space="0" w:color="auto"/>
              <w:bottom w:val="single" w:sz="4" w:space="0" w:color="auto"/>
            </w:tcBorders>
            <w:shd w:val="clear" w:color="auto" w:fill="auto"/>
            <w:noWrap/>
            <w:vAlign w:val="center"/>
            <w:hideMark/>
          </w:tcPr>
          <w:p w14:paraId="75D2DE4F" w14:textId="111675F8" w:rsidR="00471119" w:rsidRPr="00E271E1" w:rsidRDefault="009A4C86" w:rsidP="00CC38D2">
            <w:pPr>
              <w:spacing w:line="240" w:lineRule="auto"/>
              <w:jc w:val="center"/>
              <w:rPr>
                <w:rFonts w:eastAsia="Times New Roman" w:cstheme="majorBidi"/>
                <w:color w:val="000000"/>
                <w:sz w:val="22"/>
                <w:szCs w:val="22"/>
              </w:rPr>
            </w:pPr>
            <w:r>
              <w:rPr>
                <w:rFonts w:eastAsia="Times New Roman" w:cstheme="majorBidi"/>
                <w:color w:val="000000"/>
                <w:sz w:val="22"/>
                <w:szCs w:val="22"/>
              </w:rPr>
              <w:t xml:space="preserve">No. of </w:t>
            </w:r>
            <w:r w:rsidR="00471119" w:rsidRPr="00E271E1">
              <w:rPr>
                <w:rFonts w:eastAsia="Times New Roman" w:cstheme="majorBidi"/>
                <w:color w:val="000000"/>
                <w:sz w:val="22"/>
                <w:szCs w:val="22"/>
              </w:rPr>
              <w:t>Bridge</w:t>
            </w:r>
            <w:r>
              <w:rPr>
                <w:rFonts w:eastAsia="Times New Roman" w:cstheme="majorBidi"/>
                <w:color w:val="000000"/>
                <w:sz w:val="22"/>
                <w:szCs w:val="22"/>
              </w:rPr>
              <w:t>s</w:t>
            </w:r>
          </w:p>
        </w:tc>
        <w:tc>
          <w:tcPr>
            <w:tcW w:w="820" w:type="dxa"/>
            <w:tcBorders>
              <w:top w:val="single" w:sz="4" w:space="0" w:color="auto"/>
              <w:bottom w:val="single" w:sz="4" w:space="0" w:color="auto"/>
            </w:tcBorders>
            <w:shd w:val="clear" w:color="auto" w:fill="auto"/>
            <w:noWrap/>
            <w:vAlign w:val="center"/>
            <w:hideMark/>
          </w:tcPr>
          <w:p w14:paraId="35A7618E"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3</w:t>
            </w:r>
          </w:p>
        </w:tc>
        <w:tc>
          <w:tcPr>
            <w:tcW w:w="960" w:type="dxa"/>
            <w:tcBorders>
              <w:top w:val="single" w:sz="4" w:space="0" w:color="auto"/>
              <w:bottom w:val="single" w:sz="4" w:space="0" w:color="auto"/>
            </w:tcBorders>
            <w:shd w:val="clear" w:color="auto" w:fill="auto"/>
            <w:noWrap/>
            <w:vAlign w:val="center"/>
            <w:hideMark/>
          </w:tcPr>
          <w:p w14:paraId="71564AF1"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85</w:t>
            </w:r>
          </w:p>
        </w:tc>
        <w:tc>
          <w:tcPr>
            <w:tcW w:w="960" w:type="dxa"/>
            <w:tcBorders>
              <w:top w:val="single" w:sz="4" w:space="0" w:color="auto"/>
              <w:bottom w:val="single" w:sz="4" w:space="0" w:color="auto"/>
            </w:tcBorders>
            <w:shd w:val="clear" w:color="auto" w:fill="auto"/>
            <w:noWrap/>
            <w:vAlign w:val="center"/>
            <w:hideMark/>
          </w:tcPr>
          <w:p w14:paraId="1685EEE6"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33</w:t>
            </w:r>
          </w:p>
        </w:tc>
        <w:tc>
          <w:tcPr>
            <w:tcW w:w="960" w:type="dxa"/>
            <w:tcBorders>
              <w:top w:val="single" w:sz="4" w:space="0" w:color="auto"/>
              <w:bottom w:val="single" w:sz="4" w:space="0" w:color="auto"/>
            </w:tcBorders>
            <w:shd w:val="clear" w:color="auto" w:fill="auto"/>
            <w:noWrap/>
            <w:vAlign w:val="center"/>
            <w:hideMark/>
          </w:tcPr>
          <w:p w14:paraId="2B2A9E09"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7</w:t>
            </w:r>
          </w:p>
        </w:tc>
        <w:tc>
          <w:tcPr>
            <w:tcW w:w="975" w:type="dxa"/>
            <w:tcBorders>
              <w:top w:val="single" w:sz="4" w:space="0" w:color="auto"/>
              <w:bottom w:val="single" w:sz="4" w:space="0" w:color="auto"/>
            </w:tcBorders>
            <w:shd w:val="clear" w:color="auto" w:fill="auto"/>
            <w:noWrap/>
            <w:vAlign w:val="center"/>
            <w:hideMark/>
          </w:tcPr>
          <w:p w14:paraId="1CFD86C1"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12</w:t>
            </w:r>
          </w:p>
        </w:tc>
        <w:tc>
          <w:tcPr>
            <w:tcW w:w="810" w:type="dxa"/>
            <w:tcBorders>
              <w:top w:val="single" w:sz="4" w:space="0" w:color="auto"/>
              <w:bottom w:val="single" w:sz="4" w:space="0" w:color="auto"/>
            </w:tcBorders>
            <w:shd w:val="clear" w:color="auto" w:fill="auto"/>
            <w:noWrap/>
            <w:vAlign w:val="center"/>
            <w:hideMark/>
          </w:tcPr>
          <w:p w14:paraId="45275887"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140</w:t>
            </w:r>
          </w:p>
        </w:tc>
      </w:tr>
      <w:tr w:rsidR="00E271E1" w:rsidRPr="00E271E1" w14:paraId="61787CE4" w14:textId="77777777" w:rsidTr="00E271E1">
        <w:trPr>
          <w:gridAfter w:val="1"/>
          <w:wAfter w:w="810" w:type="dxa"/>
          <w:trHeight w:val="260"/>
          <w:jc w:val="center"/>
        </w:trPr>
        <w:tc>
          <w:tcPr>
            <w:tcW w:w="2070" w:type="dxa"/>
            <w:tcBorders>
              <w:top w:val="single" w:sz="4" w:space="0" w:color="auto"/>
              <w:bottom w:val="single" w:sz="4" w:space="0" w:color="auto"/>
            </w:tcBorders>
            <w:shd w:val="clear" w:color="auto" w:fill="auto"/>
            <w:noWrap/>
            <w:vAlign w:val="center"/>
            <w:hideMark/>
          </w:tcPr>
          <w:p w14:paraId="60CA5778"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Percentage</w:t>
            </w:r>
          </w:p>
        </w:tc>
        <w:tc>
          <w:tcPr>
            <w:tcW w:w="820" w:type="dxa"/>
            <w:tcBorders>
              <w:top w:val="single" w:sz="4" w:space="0" w:color="auto"/>
              <w:bottom w:val="single" w:sz="4" w:space="0" w:color="auto"/>
            </w:tcBorders>
            <w:shd w:val="clear" w:color="auto" w:fill="auto"/>
            <w:noWrap/>
            <w:vAlign w:val="center"/>
            <w:hideMark/>
          </w:tcPr>
          <w:p w14:paraId="4D8A7527"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2%</w:t>
            </w:r>
          </w:p>
        </w:tc>
        <w:tc>
          <w:tcPr>
            <w:tcW w:w="960" w:type="dxa"/>
            <w:tcBorders>
              <w:top w:val="single" w:sz="4" w:space="0" w:color="auto"/>
              <w:bottom w:val="single" w:sz="4" w:space="0" w:color="auto"/>
            </w:tcBorders>
            <w:shd w:val="clear" w:color="auto" w:fill="auto"/>
            <w:noWrap/>
            <w:vAlign w:val="center"/>
            <w:hideMark/>
          </w:tcPr>
          <w:p w14:paraId="53BD3BD9"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61%</w:t>
            </w:r>
          </w:p>
        </w:tc>
        <w:tc>
          <w:tcPr>
            <w:tcW w:w="960" w:type="dxa"/>
            <w:tcBorders>
              <w:top w:val="single" w:sz="4" w:space="0" w:color="auto"/>
              <w:bottom w:val="single" w:sz="4" w:space="0" w:color="auto"/>
            </w:tcBorders>
            <w:shd w:val="clear" w:color="auto" w:fill="auto"/>
            <w:noWrap/>
            <w:vAlign w:val="center"/>
            <w:hideMark/>
          </w:tcPr>
          <w:p w14:paraId="1DADD624"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24%</w:t>
            </w:r>
          </w:p>
        </w:tc>
        <w:tc>
          <w:tcPr>
            <w:tcW w:w="960" w:type="dxa"/>
            <w:tcBorders>
              <w:top w:val="single" w:sz="4" w:space="0" w:color="auto"/>
              <w:bottom w:val="single" w:sz="4" w:space="0" w:color="auto"/>
            </w:tcBorders>
            <w:shd w:val="clear" w:color="auto" w:fill="auto"/>
            <w:noWrap/>
            <w:vAlign w:val="center"/>
            <w:hideMark/>
          </w:tcPr>
          <w:p w14:paraId="30FCE28B"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5%</w:t>
            </w:r>
          </w:p>
        </w:tc>
        <w:tc>
          <w:tcPr>
            <w:tcW w:w="975" w:type="dxa"/>
            <w:tcBorders>
              <w:top w:val="single" w:sz="4" w:space="0" w:color="auto"/>
              <w:bottom w:val="single" w:sz="4" w:space="0" w:color="auto"/>
            </w:tcBorders>
            <w:shd w:val="clear" w:color="auto" w:fill="auto"/>
            <w:noWrap/>
            <w:vAlign w:val="center"/>
            <w:hideMark/>
          </w:tcPr>
          <w:p w14:paraId="708BC290"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9%</w:t>
            </w:r>
          </w:p>
        </w:tc>
      </w:tr>
    </w:tbl>
    <w:p w14:paraId="460D19F6" w14:textId="77777777" w:rsidR="00A33B81" w:rsidRDefault="00A33B81" w:rsidP="00471119">
      <w:pPr>
        <w:jc w:val="both"/>
        <w:rPr>
          <w:rFonts w:cstheme="majorBidi"/>
        </w:rPr>
      </w:pPr>
    </w:p>
    <w:p w14:paraId="21837FCC" w14:textId="77777777" w:rsidR="00A33B81" w:rsidRDefault="00A33B81" w:rsidP="007F1E8D">
      <w:pPr>
        <w:keepNext/>
        <w:jc w:val="center"/>
      </w:pPr>
      <w:r>
        <w:rPr>
          <w:noProof/>
          <w14:textOutline w14:w="0" w14:cap="rnd" w14:cmpd="sng" w14:algn="ctr">
            <w14:noFill/>
            <w14:prstDash w14:val="solid"/>
            <w14:bevel/>
          </w14:textOutline>
        </w:rPr>
        <w:drawing>
          <wp:inline distT="0" distB="0" distL="0" distR="0" wp14:anchorId="0A136EC6" wp14:editId="28BA9432">
            <wp:extent cx="5168348" cy="3325495"/>
            <wp:effectExtent l="0" t="0" r="13335" b="825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65C1589" w14:textId="10E534ED" w:rsidR="00471119" w:rsidRPr="00E271E1" w:rsidRDefault="00A33B81" w:rsidP="007F1E8D">
      <w:pPr>
        <w:pStyle w:val="Caption"/>
        <w:jc w:val="center"/>
        <w:rPr>
          <w:rFonts w:asciiTheme="majorBidi" w:hAnsiTheme="majorBidi" w:cstheme="majorBidi"/>
        </w:rPr>
      </w:pPr>
      <w:bookmarkStart w:id="7" w:name="_Ref533110700"/>
      <w:bookmarkStart w:id="8" w:name="_Toc532816243"/>
      <w:bookmarkStart w:id="9" w:name="_Toc7519882"/>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1</w:t>
      </w:r>
      <w:r w:rsidR="007B70FA">
        <w:rPr>
          <w:noProof/>
        </w:rPr>
        <w:fldChar w:fldCharType="end"/>
      </w:r>
      <w:bookmarkEnd w:id="7"/>
      <w:r>
        <w:t xml:space="preserve">. </w:t>
      </w:r>
      <w:r w:rsidR="00731DBA">
        <w:t>Distribution of Bridge-Number of b</w:t>
      </w:r>
      <w:r w:rsidRPr="00A33B81">
        <w:t>ox</w:t>
      </w:r>
      <w:r w:rsidR="00731DBA">
        <w:t xml:space="preserve"> g</w:t>
      </w:r>
      <w:r w:rsidRPr="00A33B81">
        <w:t>irder</w:t>
      </w:r>
      <w:bookmarkEnd w:id="8"/>
      <w:bookmarkEnd w:id="9"/>
    </w:p>
    <w:p w14:paraId="75B31962" w14:textId="77777777" w:rsidR="00471119" w:rsidRPr="00E271E1" w:rsidRDefault="00471119" w:rsidP="00471119">
      <w:pPr>
        <w:rPr>
          <w:rFonts w:cstheme="majorBidi"/>
        </w:rPr>
      </w:pPr>
    </w:p>
    <w:p w14:paraId="7292CF6B" w14:textId="4B77967B" w:rsidR="00DB1E32" w:rsidRPr="00DB1E32" w:rsidRDefault="00C91F15" w:rsidP="00DB1E32">
      <w:pPr>
        <w:pStyle w:val="Heading3"/>
      </w:pPr>
      <w:bookmarkStart w:id="10" w:name="_Toc7519834"/>
      <w:r w:rsidRPr="00C91F15">
        <w:t>Maximum Span Length</w:t>
      </w:r>
      <w:r w:rsidR="00445A26">
        <w:t>s</w:t>
      </w:r>
      <w:r w:rsidR="00163735">
        <w:t xml:space="preserve"> and Number of S</w:t>
      </w:r>
      <w:r w:rsidR="00536910">
        <w:t>pan</w:t>
      </w:r>
      <w:r w:rsidR="00445A26">
        <w:t>s</w:t>
      </w:r>
      <w:bookmarkEnd w:id="10"/>
    </w:p>
    <w:p w14:paraId="73879E9B" w14:textId="0E094775" w:rsidR="00D13D1A" w:rsidRDefault="008D7B10" w:rsidP="00D13D1A">
      <w:pPr>
        <w:spacing w:line="276" w:lineRule="auto"/>
        <w:jc w:val="both"/>
        <w:rPr>
          <w:rFonts w:cstheme="majorBidi"/>
        </w:rPr>
      </w:pPr>
      <w:r>
        <w:rPr>
          <w:rFonts w:cstheme="majorBidi"/>
        </w:rPr>
        <w:t>T</w:t>
      </w:r>
      <w:r w:rsidRPr="00FA170C">
        <w:rPr>
          <w:rFonts w:cstheme="majorBidi"/>
        </w:rPr>
        <w:t xml:space="preserve">he span lengths and number of spans for </w:t>
      </w:r>
      <w:r>
        <w:rPr>
          <w:rFonts w:cstheme="majorBidi"/>
        </w:rPr>
        <w:t>a</w:t>
      </w:r>
      <w:r w:rsidRPr="00FA170C">
        <w:rPr>
          <w:rFonts w:cstheme="majorBidi"/>
        </w:rPr>
        <w:t xml:space="preserve"> bridge</w:t>
      </w:r>
      <w:r>
        <w:rPr>
          <w:rFonts w:cstheme="majorBidi"/>
        </w:rPr>
        <w:t xml:space="preserve"> </w:t>
      </w:r>
      <w:r w:rsidR="00445A26">
        <w:rPr>
          <w:rFonts w:cstheme="majorBidi"/>
        </w:rPr>
        <w:t>are normally determined</w:t>
      </w:r>
      <w:r>
        <w:rPr>
          <w:rFonts w:cstheme="majorBidi"/>
        </w:rPr>
        <w:t xml:space="preserve"> </w:t>
      </w:r>
      <w:r w:rsidR="00445A26">
        <w:rPr>
          <w:rFonts w:cstheme="majorBidi"/>
        </w:rPr>
        <w:t xml:space="preserve">in design </w:t>
      </w:r>
      <w:r>
        <w:rPr>
          <w:rFonts w:cstheme="majorBidi"/>
        </w:rPr>
        <w:t>based on</w:t>
      </w:r>
      <w:r w:rsidRPr="00FA170C">
        <w:rPr>
          <w:rFonts w:cstheme="majorBidi"/>
        </w:rPr>
        <w:t xml:space="preserve"> </w:t>
      </w:r>
      <w:r w:rsidR="00973C59">
        <w:rPr>
          <w:rFonts w:cstheme="majorBidi"/>
        </w:rPr>
        <w:t>parameters such as</w:t>
      </w:r>
      <w:r w:rsidR="00986051" w:rsidRPr="00FA170C">
        <w:rPr>
          <w:rFonts w:cstheme="majorBidi"/>
        </w:rPr>
        <w:t xml:space="preserve"> topography of the site</w:t>
      </w:r>
      <w:r w:rsidR="00986051">
        <w:rPr>
          <w:rFonts w:cstheme="majorBidi"/>
        </w:rPr>
        <w:t xml:space="preserve">, </w:t>
      </w:r>
      <w:r w:rsidR="00973C59">
        <w:rPr>
          <w:rFonts w:cstheme="majorBidi"/>
        </w:rPr>
        <w:t xml:space="preserve">configuration of other roads beneath or around the bridge, </w:t>
      </w:r>
      <w:r w:rsidR="00986051" w:rsidRPr="00FA170C">
        <w:rPr>
          <w:rFonts w:cstheme="majorBidi"/>
        </w:rPr>
        <w:t>environmental</w:t>
      </w:r>
      <w:r w:rsidR="00986051">
        <w:rPr>
          <w:rFonts w:cstheme="majorBidi"/>
        </w:rPr>
        <w:t xml:space="preserve"> issues, </w:t>
      </w:r>
      <w:r w:rsidR="00267437">
        <w:rPr>
          <w:rFonts w:cstheme="majorBidi"/>
        </w:rPr>
        <w:t xml:space="preserve">architectural plans, the structural system and construction methods. </w:t>
      </w:r>
      <w:r w:rsidR="007E44F9">
        <w:rPr>
          <w:rFonts w:cstheme="majorBidi"/>
        </w:rPr>
        <w:t>In</w:t>
      </w:r>
      <w:r w:rsidR="00267437">
        <w:rPr>
          <w:rFonts w:cstheme="majorBidi"/>
        </w:rPr>
        <w:t xml:space="preserve"> a multi</w:t>
      </w:r>
      <w:r w:rsidR="00445A26">
        <w:rPr>
          <w:rFonts w:cstheme="majorBidi"/>
        </w:rPr>
        <w:t>-</w:t>
      </w:r>
      <w:r w:rsidR="00267437">
        <w:rPr>
          <w:rFonts w:cstheme="majorBidi"/>
        </w:rPr>
        <w:t>span bridge</w:t>
      </w:r>
      <w:r w:rsidR="007E44F9">
        <w:rPr>
          <w:rFonts w:cstheme="majorBidi"/>
        </w:rPr>
        <w:t>, span</w:t>
      </w:r>
      <w:r w:rsidR="00973C59">
        <w:rPr>
          <w:rFonts w:cstheme="majorBidi"/>
        </w:rPr>
        <w:t xml:space="preserve"> lengths</w:t>
      </w:r>
      <w:r w:rsidR="007E44F9">
        <w:rPr>
          <w:rFonts w:cstheme="majorBidi"/>
        </w:rPr>
        <w:t xml:space="preserve"> and</w:t>
      </w:r>
      <w:r w:rsidR="00973C59">
        <w:rPr>
          <w:rFonts w:cstheme="majorBidi"/>
          <w:lang w:bidi="fa-IR"/>
        </w:rPr>
        <w:t xml:space="preserve"> number of</w:t>
      </w:r>
      <w:r w:rsidR="007E44F9">
        <w:rPr>
          <w:rFonts w:cstheme="majorBidi"/>
          <w:lang w:bidi="fa-IR"/>
        </w:rPr>
        <w:t xml:space="preserve"> piers </w:t>
      </w:r>
      <w:r w:rsidR="00973C59">
        <w:rPr>
          <w:rFonts w:cstheme="majorBidi"/>
          <w:lang w:bidi="fa-IR"/>
        </w:rPr>
        <w:t>are</w:t>
      </w:r>
      <w:r w:rsidR="007E44F9">
        <w:rPr>
          <w:rFonts w:cstheme="majorBidi"/>
          <w:lang w:bidi="fa-IR"/>
        </w:rPr>
        <w:t xml:space="preserve"> usually </w:t>
      </w:r>
      <w:r w:rsidR="00973C59">
        <w:rPr>
          <w:rFonts w:cstheme="majorBidi"/>
        </w:rPr>
        <w:t>determined for</w:t>
      </w:r>
      <w:r w:rsidR="007E44F9">
        <w:rPr>
          <w:rFonts w:cstheme="majorBidi"/>
        </w:rPr>
        <w:t xml:space="preserve"> optimum configuration</w:t>
      </w:r>
      <w:r w:rsidR="00267437">
        <w:rPr>
          <w:rFonts w:cstheme="majorBidi"/>
        </w:rPr>
        <w:t xml:space="preserve">. However, </w:t>
      </w:r>
      <w:r w:rsidR="007E44F9">
        <w:rPr>
          <w:rFonts w:cstheme="majorBidi"/>
        </w:rPr>
        <w:t xml:space="preserve">by considering environmental effects and construction difficulties </w:t>
      </w:r>
      <w:r w:rsidR="00445A26">
        <w:rPr>
          <w:rFonts w:cstheme="majorBidi"/>
        </w:rPr>
        <w:t>for the</w:t>
      </w:r>
      <w:r w:rsidR="007E44F9">
        <w:rPr>
          <w:rFonts w:cstheme="majorBidi"/>
        </w:rPr>
        <w:t xml:space="preserve"> </w:t>
      </w:r>
      <w:r w:rsidR="007E44F9">
        <w:rPr>
          <w:rFonts w:cstheme="majorBidi"/>
        </w:rPr>
        <w:lastRenderedPageBreak/>
        <w:t xml:space="preserve">piers, </w:t>
      </w:r>
      <w:r w:rsidR="00FA170C" w:rsidRPr="00FA170C">
        <w:rPr>
          <w:rFonts w:cstheme="majorBidi"/>
        </w:rPr>
        <w:t>longer spans with fewer fo</w:t>
      </w:r>
      <w:r w:rsidR="00294A1C">
        <w:rPr>
          <w:rFonts w:cstheme="majorBidi"/>
        </w:rPr>
        <w:t xml:space="preserve">undations </w:t>
      </w:r>
      <w:r w:rsidR="00973C59">
        <w:rPr>
          <w:rFonts w:cstheme="majorBidi"/>
        </w:rPr>
        <w:t>may</w:t>
      </w:r>
      <w:r w:rsidR="007E44F9">
        <w:rPr>
          <w:rFonts w:cstheme="majorBidi"/>
        </w:rPr>
        <w:t xml:space="preserve"> be </w:t>
      </w:r>
      <w:r w:rsidR="007E44F9" w:rsidRPr="007E44F9">
        <w:rPr>
          <w:rFonts w:cstheme="majorBidi"/>
        </w:rPr>
        <w:t>the preferred solution</w:t>
      </w:r>
      <w:r w:rsidR="00FA170C" w:rsidRPr="00FA170C">
        <w:rPr>
          <w:rFonts w:cstheme="majorBidi"/>
        </w:rPr>
        <w:t>.</w:t>
      </w:r>
      <w:r w:rsidR="00DE1567">
        <w:rPr>
          <w:rFonts w:cstheme="majorBidi"/>
        </w:rPr>
        <w:t xml:space="preserve"> </w:t>
      </w:r>
      <w:r w:rsidR="00293605">
        <w:rPr>
          <w:rFonts w:cstheme="majorBidi"/>
        </w:rPr>
        <w:fldChar w:fldCharType="begin"/>
      </w:r>
      <w:r w:rsidR="00293605">
        <w:rPr>
          <w:rFonts w:cstheme="majorBidi"/>
        </w:rPr>
        <w:instrText xml:space="preserve"> REF _Ref532812119 \h  \* MERGEFORMAT </w:instrText>
      </w:r>
      <w:r w:rsidR="00293605">
        <w:rPr>
          <w:rFonts w:cstheme="majorBidi"/>
        </w:rPr>
      </w:r>
      <w:r w:rsidR="00293605">
        <w:rPr>
          <w:rFonts w:cstheme="majorBidi"/>
        </w:rPr>
        <w:fldChar w:fldCharType="separate"/>
      </w:r>
      <w:r w:rsidR="00BF057C" w:rsidRPr="00BF057C">
        <w:rPr>
          <w:rFonts w:cstheme="majorBidi"/>
        </w:rPr>
        <w:t>Figure 2</w:t>
      </w:r>
      <w:r w:rsidR="00293605">
        <w:rPr>
          <w:rFonts w:cstheme="majorBidi"/>
        </w:rPr>
        <w:fldChar w:fldCharType="end"/>
      </w:r>
      <w:r w:rsidR="00293605">
        <w:rPr>
          <w:rFonts w:cstheme="majorBidi"/>
        </w:rPr>
        <w:t xml:space="preserve"> </w:t>
      </w:r>
      <w:r w:rsidR="007E44F9">
        <w:rPr>
          <w:rFonts w:cstheme="majorBidi"/>
        </w:rPr>
        <w:t>shows distribution of maximum length</w:t>
      </w:r>
      <w:r w:rsidR="00445A26">
        <w:rPr>
          <w:rFonts w:cstheme="majorBidi"/>
        </w:rPr>
        <w:t>s</w:t>
      </w:r>
      <w:r w:rsidR="007E44F9">
        <w:rPr>
          <w:rFonts w:cstheme="majorBidi"/>
        </w:rPr>
        <w:t xml:space="preserve"> of span </w:t>
      </w:r>
      <w:r w:rsidR="00973C59">
        <w:rPr>
          <w:rFonts w:cstheme="majorBidi"/>
        </w:rPr>
        <w:t>for</w:t>
      </w:r>
      <w:r w:rsidR="007E44F9">
        <w:rPr>
          <w:rFonts w:cstheme="majorBidi"/>
        </w:rPr>
        <w:t xml:space="preserve"> Florida </w:t>
      </w:r>
      <w:r w:rsidR="005D2AD9">
        <w:rPr>
          <w:rFonts w:cstheme="majorBidi"/>
        </w:rPr>
        <w:t xml:space="preserve">two </w:t>
      </w:r>
      <w:r w:rsidR="00445A26">
        <w:rPr>
          <w:rFonts w:cstheme="majorBidi"/>
        </w:rPr>
        <w:t xml:space="preserve">steel </w:t>
      </w:r>
      <w:r w:rsidR="003651C1">
        <w:rPr>
          <w:rFonts w:cstheme="majorBidi"/>
        </w:rPr>
        <w:t>box</w:t>
      </w:r>
      <w:r w:rsidR="005D2AD9">
        <w:rPr>
          <w:rFonts w:cstheme="majorBidi"/>
        </w:rPr>
        <w:t xml:space="preserve"> girder</w:t>
      </w:r>
      <w:r w:rsidR="003651C1">
        <w:rPr>
          <w:rFonts w:cstheme="majorBidi"/>
        </w:rPr>
        <w:t xml:space="preserve"> bridges</w:t>
      </w:r>
      <w:r w:rsidR="00630E96">
        <w:rPr>
          <w:rFonts w:cstheme="majorBidi"/>
        </w:rPr>
        <w:t xml:space="preserve"> divided into 5 main groups</w:t>
      </w:r>
      <w:r w:rsidR="004E1599">
        <w:rPr>
          <w:rFonts w:cstheme="majorBidi"/>
        </w:rPr>
        <w:t>. The span length</w:t>
      </w:r>
      <w:r w:rsidR="00445A26">
        <w:rPr>
          <w:rFonts w:cstheme="majorBidi"/>
        </w:rPr>
        <w:t>s</w:t>
      </w:r>
      <w:r w:rsidR="00536910">
        <w:rPr>
          <w:rFonts w:cstheme="majorBidi"/>
        </w:rPr>
        <w:t xml:space="preserve"> </w:t>
      </w:r>
      <w:r w:rsidR="004E1599">
        <w:rPr>
          <w:rFonts w:cstheme="majorBidi"/>
        </w:rPr>
        <w:t>var</w:t>
      </w:r>
      <w:r w:rsidR="00445A26">
        <w:rPr>
          <w:rFonts w:cstheme="majorBidi"/>
        </w:rPr>
        <w:t>y</w:t>
      </w:r>
      <w:r w:rsidR="004E1599">
        <w:rPr>
          <w:rFonts w:cstheme="majorBidi"/>
        </w:rPr>
        <w:t xml:space="preserve"> from 113 </w:t>
      </w:r>
      <w:r w:rsidR="003D7BCB">
        <w:rPr>
          <w:rFonts w:cstheme="majorBidi"/>
        </w:rPr>
        <w:t>ft</w:t>
      </w:r>
      <w:r w:rsidR="003651C1">
        <w:rPr>
          <w:rFonts w:cstheme="majorBidi"/>
        </w:rPr>
        <w:t xml:space="preserve"> to </w:t>
      </w:r>
      <w:r w:rsidR="004E1599">
        <w:rPr>
          <w:rFonts w:cstheme="majorBidi"/>
        </w:rPr>
        <w:t xml:space="preserve">372 </w:t>
      </w:r>
      <w:r w:rsidR="003D7BCB">
        <w:rPr>
          <w:rFonts w:cstheme="majorBidi"/>
        </w:rPr>
        <w:t>ft</w:t>
      </w:r>
      <w:r w:rsidR="00445A26">
        <w:rPr>
          <w:rFonts w:cstheme="majorBidi"/>
        </w:rPr>
        <w:t xml:space="preserve"> with a large majority</w:t>
      </w:r>
      <w:r w:rsidR="00630E96">
        <w:rPr>
          <w:rFonts w:cstheme="majorBidi"/>
        </w:rPr>
        <w:t xml:space="preserve"> of bridges hav</w:t>
      </w:r>
      <w:r w:rsidR="00445A26">
        <w:rPr>
          <w:rFonts w:cstheme="majorBidi"/>
        </w:rPr>
        <w:t>ing</w:t>
      </w:r>
      <w:r w:rsidR="00630E96">
        <w:rPr>
          <w:rFonts w:cstheme="majorBidi"/>
        </w:rPr>
        <w:t xml:space="preserve"> a span between 150~250 </w:t>
      </w:r>
      <w:r w:rsidR="0067386B">
        <w:rPr>
          <w:rFonts w:cstheme="majorBidi"/>
        </w:rPr>
        <w:t>ft.</w:t>
      </w:r>
    </w:p>
    <w:p w14:paraId="54F1DFE1" w14:textId="77777777" w:rsidR="00D13D1A" w:rsidRDefault="00D13D1A" w:rsidP="00D13D1A">
      <w:pPr>
        <w:spacing w:line="276" w:lineRule="auto"/>
        <w:jc w:val="both"/>
        <w:rPr>
          <w:rFonts w:cstheme="majorBidi"/>
        </w:rPr>
      </w:pPr>
    </w:p>
    <w:p w14:paraId="4862905A" w14:textId="62AA5184" w:rsidR="00293605" w:rsidRPr="00E31325" w:rsidRDefault="00006AC4" w:rsidP="00DB1E32">
      <w:pPr>
        <w:spacing w:line="276" w:lineRule="auto"/>
        <w:jc w:val="both"/>
        <w:rPr>
          <w:rFonts w:cstheme="majorBidi"/>
        </w:rPr>
      </w:pPr>
      <w:r>
        <w:rPr>
          <w:rFonts w:cstheme="majorBidi"/>
        </w:rPr>
        <w:fldChar w:fldCharType="begin"/>
      </w:r>
      <w:r>
        <w:rPr>
          <w:rFonts w:cstheme="majorBidi"/>
        </w:rPr>
        <w:instrText xml:space="preserve"> REF _Ref532812447 \h  \* MERGEFORMAT </w:instrText>
      </w:r>
      <w:r>
        <w:rPr>
          <w:rFonts w:cstheme="majorBidi"/>
        </w:rPr>
      </w:r>
      <w:r>
        <w:rPr>
          <w:rFonts w:cstheme="majorBidi"/>
        </w:rPr>
        <w:fldChar w:fldCharType="separate"/>
      </w:r>
      <w:r w:rsidR="00BF057C" w:rsidRPr="00BF057C">
        <w:rPr>
          <w:rFonts w:cstheme="majorBidi"/>
        </w:rPr>
        <w:t>Figure 3</w:t>
      </w:r>
      <w:r>
        <w:rPr>
          <w:rFonts w:cstheme="majorBidi"/>
        </w:rPr>
        <w:fldChar w:fldCharType="end"/>
      </w:r>
      <w:r>
        <w:rPr>
          <w:rFonts w:cstheme="majorBidi"/>
        </w:rPr>
        <w:t xml:space="preserve"> </w:t>
      </w:r>
      <w:r w:rsidR="00180F32">
        <w:rPr>
          <w:rFonts w:cstheme="majorBidi"/>
        </w:rPr>
        <w:t xml:space="preserve">shows </w:t>
      </w:r>
      <w:r w:rsidR="00630E96">
        <w:rPr>
          <w:rFonts w:cstheme="majorBidi"/>
        </w:rPr>
        <w:t xml:space="preserve">distribution of bridges based on the number of span. As it can be seen most of the bridges have more than 3 spans and </w:t>
      </w:r>
      <w:r w:rsidR="00180F32">
        <w:rPr>
          <w:rFonts w:cstheme="majorBidi"/>
        </w:rPr>
        <w:t xml:space="preserve">there are only 5 simple span </w:t>
      </w:r>
      <w:r w:rsidR="00630E96">
        <w:rPr>
          <w:rFonts w:cstheme="majorBidi"/>
        </w:rPr>
        <w:t xml:space="preserve">bridges </w:t>
      </w:r>
      <w:r w:rsidR="00806811">
        <w:rPr>
          <w:rFonts w:cstheme="majorBidi"/>
        </w:rPr>
        <w:t xml:space="preserve">of this type </w:t>
      </w:r>
      <w:r w:rsidR="00630E96">
        <w:rPr>
          <w:rFonts w:cstheme="majorBidi"/>
        </w:rPr>
        <w:t>in the state of Florida.</w:t>
      </w:r>
      <w:r w:rsidR="00D97232">
        <w:rPr>
          <w:rFonts w:cstheme="majorBidi"/>
        </w:rPr>
        <w:t xml:space="preserve"> </w:t>
      </w:r>
      <w:r w:rsidR="00806811">
        <w:rPr>
          <w:rFonts w:cstheme="majorBidi"/>
        </w:rPr>
        <w:t>The</w:t>
      </w:r>
      <w:r w:rsidR="00D97232">
        <w:rPr>
          <w:rFonts w:cstheme="majorBidi"/>
        </w:rPr>
        <w:t xml:space="preserve"> number of span</w:t>
      </w:r>
      <w:r w:rsidR="00806811">
        <w:rPr>
          <w:rFonts w:cstheme="majorBidi"/>
        </w:rPr>
        <w:t xml:space="preserve">s, </w:t>
      </w:r>
      <w:r w:rsidR="00445A26">
        <w:rPr>
          <w:rFonts w:cstheme="majorBidi"/>
        </w:rPr>
        <w:t>consequently</w:t>
      </w:r>
      <w:r w:rsidR="00806811">
        <w:rPr>
          <w:rFonts w:cstheme="majorBidi"/>
        </w:rPr>
        <w:t xml:space="preserve"> the continuity of spans,</w:t>
      </w:r>
      <w:r w:rsidR="00D97232">
        <w:rPr>
          <w:rFonts w:cstheme="majorBidi"/>
        </w:rPr>
        <w:t xml:space="preserve"> plays a </w:t>
      </w:r>
      <w:r w:rsidR="00445A26">
        <w:rPr>
          <w:rFonts w:cstheme="majorBidi"/>
        </w:rPr>
        <w:t>defining</w:t>
      </w:r>
      <w:r w:rsidR="00D97232">
        <w:rPr>
          <w:rFonts w:cstheme="majorBidi"/>
        </w:rPr>
        <w:t xml:space="preserve"> role in </w:t>
      </w:r>
      <w:r w:rsidR="00445A26">
        <w:rPr>
          <w:rFonts w:cstheme="majorBidi"/>
        </w:rPr>
        <w:t xml:space="preserve">the </w:t>
      </w:r>
      <w:r w:rsidR="00D97232">
        <w:rPr>
          <w:rFonts w:cstheme="majorBidi"/>
        </w:rPr>
        <w:t>maximum deflection and ultimate load capacity of a bridge</w:t>
      </w:r>
      <w:r w:rsidR="00445A26">
        <w:rPr>
          <w:rFonts w:cstheme="majorBidi"/>
        </w:rPr>
        <w:t>. This is</w:t>
      </w:r>
      <w:r w:rsidR="00D97232">
        <w:rPr>
          <w:rFonts w:cstheme="majorBidi"/>
        </w:rPr>
        <w:t xml:space="preserve"> </w:t>
      </w:r>
      <w:r w:rsidR="00806811">
        <w:rPr>
          <w:rFonts w:cstheme="majorBidi"/>
        </w:rPr>
        <w:t>especially</w:t>
      </w:r>
      <w:r w:rsidR="00445A26">
        <w:rPr>
          <w:rFonts w:cstheme="majorBidi"/>
        </w:rPr>
        <w:t xml:space="preserve"> important</w:t>
      </w:r>
      <w:r w:rsidR="00806811">
        <w:rPr>
          <w:rFonts w:cstheme="majorBidi"/>
        </w:rPr>
        <w:t xml:space="preserve"> </w:t>
      </w:r>
      <w:r w:rsidR="00D97232">
        <w:rPr>
          <w:rFonts w:cstheme="majorBidi"/>
        </w:rPr>
        <w:t>since</w:t>
      </w:r>
      <w:r w:rsidR="00445A26">
        <w:rPr>
          <w:rFonts w:cstheme="majorBidi"/>
        </w:rPr>
        <w:t xml:space="preserve"> one </w:t>
      </w:r>
      <w:r w:rsidR="00D97232">
        <w:rPr>
          <w:rFonts w:cstheme="majorBidi"/>
        </w:rPr>
        <w:t xml:space="preserve">fractured girder in </w:t>
      </w:r>
      <w:r w:rsidR="00806811">
        <w:rPr>
          <w:rFonts w:cstheme="majorBidi"/>
        </w:rPr>
        <w:t>a</w:t>
      </w:r>
      <w:r w:rsidR="00445A26">
        <w:rPr>
          <w:rFonts w:cstheme="majorBidi"/>
        </w:rPr>
        <w:t xml:space="preserve"> span within a</w:t>
      </w:r>
      <w:r w:rsidR="00806811">
        <w:rPr>
          <w:rFonts w:cstheme="majorBidi"/>
        </w:rPr>
        <w:t xml:space="preserve"> </w:t>
      </w:r>
      <w:r w:rsidR="00D97232">
        <w:rPr>
          <w:rFonts w:cstheme="majorBidi"/>
        </w:rPr>
        <w:t>multi</w:t>
      </w:r>
      <w:r w:rsidR="00445A26">
        <w:rPr>
          <w:rFonts w:cstheme="majorBidi"/>
        </w:rPr>
        <w:t>-</w:t>
      </w:r>
      <w:r w:rsidR="00D97232">
        <w:rPr>
          <w:rFonts w:cstheme="majorBidi"/>
        </w:rPr>
        <w:t>span bridge can carry load as a cantilever beam</w:t>
      </w:r>
      <w:r w:rsidR="00806811">
        <w:rPr>
          <w:rFonts w:cstheme="majorBidi"/>
        </w:rPr>
        <w:t>.</w:t>
      </w:r>
      <w:r w:rsidR="00D97232">
        <w:rPr>
          <w:rFonts w:cstheme="majorBidi"/>
        </w:rPr>
        <w:t xml:space="preserve"> </w:t>
      </w:r>
      <w:r w:rsidR="00806811">
        <w:rPr>
          <w:rFonts w:cstheme="majorBidi"/>
        </w:rPr>
        <w:t>A</w:t>
      </w:r>
      <w:r w:rsidR="00D97232">
        <w:rPr>
          <w:rFonts w:cstheme="majorBidi"/>
        </w:rPr>
        <w:t>s a result</w:t>
      </w:r>
      <w:r w:rsidR="00806811">
        <w:rPr>
          <w:rFonts w:cstheme="majorBidi"/>
        </w:rPr>
        <w:t>,</w:t>
      </w:r>
      <w:r w:rsidR="00D97232">
        <w:rPr>
          <w:rFonts w:cstheme="majorBidi"/>
        </w:rPr>
        <w:t xml:space="preserve"> the stiffness of </w:t>
      </w:r>
      <w:r w:rsidR="00806811">
        <w:rPr>
          <w:rFonts w:cstheme="majorBidi"/>
        </w:rPr>
        <w:t>continuous</w:t>
      </w:r>
      <w:r w:rsidR="00D97232">
        <w:rPr>
          <w:rFonts w:cstheme="majorBidi"/>
        </w:rPr>
        <w:t xml:space="preserve"> bridge</w:t>
      </w:r>
      <w:r w:rsidR="00806811">
        <w:rPr>
          <w:rFonts w:cstheme="majorBidi"/>
        </w:rPr>
        <w:t>s</w:t>
      </w:r>
      <w:r w:rsidR="00D97232">
        <w:rPr>
          <w:rFonts w:cstheme="majorBidi"/>
        </w:rPr>
        <w:t xml:space="preserve"> a</w:t>
      </w:r>
      <w:r w:rsidR="0067386B">
        <w:rPr>
          <w:rFonts w:cstheme="majorBidi"/>
        </w:rPr>
        <w:t>ft</w:t>
      </w:r>
      <w:r w:rsidR="00D97232">
        <w:rPr>
          <w:rFonts w:cstheme="majorBidi"/>
        </w:rPr>
        <w:t>er fracture is much higher than simple span bridges with the same characteristics.</w:t>
      </w:r>
      <w:r w:rsidR="00AE3499">
        <w:rPr>
          <w:rFonts w:cstheme="majorBidi"/>
        </w:rPr>
        <w:t xml:space="preserve"> The wors</w:t>
      </w:r>
      <w:r w:rsidR="00806811">
        <w:rPr>
          <w:rFonts w:cstheme="majorBidi"/>
        </w:rPr>
        <w:t>t</w:t>
      </w:r>
      <w:r w:rsidR="00AE3499">
        <w:rPr>
          <w:rFonts w:cstheme="majorBidi"/>
        </w:rPr>
        <w:t xml:space="preserve"> fracture scenario in a multi</w:t>
      </w:r>
      <w:r w:rsidR="00445A26">
        <w:rPr>
          <w:rFonts w:cstheme="majorBidi"/>
        </w:rPr>
        <w:t>-</w:t>
      </w:r>
      <w:r w:rsidR="00AE3499">
        <w:rPr>
          <w:rFonts w:cstheme="majorBidi"/>
        </w:rPr>
        <w:t xml:space="preserve">span bridge is a fracture in the middle of </w:t>
      </w:r>
      <w:r w:rsidR="00445A26">
        <w:rPr>
          <w:rFonts w:cstheme="majorBidi"/>
        </w:rPr>
        <w:t xml:space="preserve">the </w:t>
      </w:r>
      <w:r w:rsidR="00AE3499">
        <w:rPr>
          <w:rFonts w:cstheme="majorBidi"/>
        </w:rPr>
        <w:t>first or last span</w:t>
      </w:r>
      <w:r w:rsidR="00806811">
        <w:rPr>
          <w:rFonts w:cstheme="majorBidi"/>
        </w:rPr>
        <w:t>, i.e. exterior spans</w:t>
      </w:r>
      <w:r w:rsidR="00AE3499">
        <w:rPr>
          <w:rFonts w:cstheme="majorBidi"/>
        </w:rPr>
        <w:t>. Because in this case</w:t>
      </w:r>
      <w:r w:rsidR="00445A26">
        <w:rPr>
          <w:rFonts w:cstheme="majorBidi"/>
        </w:rPr>
        <w:t>,</w:t>
      </w:r>
      <w:r w:rsidR="00AE3499">
        <w:rPr>
          <w:rFonts w:cstheme="majorBidi"/>
        </w:rPr>
        <w:t xml:space="preserve"> the fractured girder can act as a cantilever beam just </w:t>
      </w:r>
      <w:r w:rsidR="00806811">
        <w:rPr>
          <w:rFonts w:cstheme="majorBidi"/>
        </w:rPr>
        <w:t>o</w:t>
      </w:r>
      <w:r w:rsidR="00AE3499">
        <w:rPr>
          <w:rFonts w:cstheme="majorBidi"/>
        </w:rPr>
        <w:t xml:space="preserve">n </w:t>
      </w:r>
      <w:r w:rsidR="001134EA">
        <w:rPr>
          <w:rFonts w:cstheme="majorBidi"/>
        </w:rPr>
        <w:t>one</w:t>
      </w:r>
      <w:r w:rsidR="00AE3499">
        <w:rPr>
          <w:rFonts w:cstheme="majorBidi"/>
        </w:rPr>
        <w:t xml:space="preserve"> side</w:t>
      </w:r>
      <w:r w:rsidR="001134EA">
        <w:rPr>
          <w:rFonts w:cstheme="majorBidi"/>
        </w:rPr>
        <w:t>.</w:t>
      </w:r>
      <w:r w:rsidR="005D2757">
        <w:rPr>
          <w:rFonts w:cstheme="majorBidi"/>
        </w:rPr>
        <w:t xml:space="preserve"> </w:t>
      </w:r>
      <w:r w:rsidR="00564C7A">
        <w:rPr>
          <w:rFonts w:cstheme="majorBidi"/>
        </w:rPr>
        <w:t>Accordingly,</w:t>
      </w:r>
      <w:r w:rsidR="00445A26">
        <w:rPr>
          <w:rFonts w:cstheme="majorBidi"/>
        </w:rPr>
        <w:t xml:space="preserve"> and </w:t>
      </w:r>
      <w:r w:rsidR="00806811">
        <w:rPr>
          <w:rFonts w:cstheme="majorBidi"/>
        </w:rPr>
        <w:t xml:space="preserve">for simplicity, a </w:t>
      </w:r>
      <w:r w:rsidR="005D2757">
        <w:rPr>
          <w:rFonts w:cstheme="majorBidi"/>
        </w:rPr>
        <w:t>two</w:t>
      </w:r>
      <w:r w:rsidR="00806811">
        <w:rPr>
          <w:rFonts w:cstheme="majorBidi"/>
        </w:rPr>
        <w:t>-</w:t>
      </w:r>
      <w:r w:rsidR="005D2757">
        <w:rPr>
          <w:rFonts w:cstheme="majorBidi"/>
        </w:rPr>
        <w:t>span</w:t>
      </w:r>
      <w:r w:rsidR="00806811">
        <w:rPr>
          <w:rFonts w:cstheme="majorBidi"/>
        </w:rPr>
        <w:t xml:space="preserve"> continuous bridge can be considered to</w:t>
      </w:r>
      <w:r w:rsidR="005D2757">
        <w:rPr>
          <w:rFonts w:cstheme="majorBidi"/>
        </w:rPr>
        <w:t xml:space="preserve"> represent </w:t>
      </w:r>
      <w:r w:rsidR="0020137A">
        <w:rPr>
          <w:rFonts w:cstheme="majorBidi"/>
        </w:rPr>
        <w:t xml:space="preserve">conservatively </w:t>
      </w:r>
      <w:r w:rsidR="005D2757">
        <w:rPr>
          <w:rFonts w:cstheme="majorBidi"/>
        </w:rPr>
        <w:t>all multi</w:t>
      </w:r>
      <w:r w:rsidR="0020137A">
        <w:rPr>
          <w:rFonts w:cstheme="majorBidi"/>
        </w:rPr>
        <w:t>-</w:t>
      </w:r>
      <w:r w:rsidR="005D2757">
        <w:rPr>
          <w:rFonts w:cstheme="majorBidi"/>
        </w:rPr>
        <w:t>spans bridges.</w:t>
      </w:r>
    </w:p>
    <w:p w14:paraId="5CFFDBB9" w14:textId="77777777" w:rsidR="00293605" w:rsidRDefault="00293605" w:rsidP="006779EA">
      <w:pPr>
        <w:keepNext/>
        <w:jc w:val="center"/>
      </w:pPr>
    </w:p>
    <w:p w14:paraId="10759CF5" w14:textId="4006B94F" w:rsidR="00293605" w:rsidRDefault="00A57C40" w:rsidP="006779EA">
      <w:pPr>
        <w:keepNext/>
        <w:jc w:val="center"/>
      </w:pPr>
      <w:r>
        <w:rPr>
          <w:noProof/>
          <w14:textOutline w14:w="0" w14:cap="rnd" w14:cmpd="sng" w14:algn="ctr">
            <w14:noFill/>
            <w14:prstDash w14:val="solid"/>
            <w14:bevel/>
          </w14:textOutline>
        </w:rPr>
        <w:drawing>
          <wp:inline distT="0" distB="0" distL="0" distR="0" wp14:anchorId="660097D7" wp14:editId="25F74F71">
            <wp:extent cx="5136542" cy="2968321"/>
            <wp:effectExtent l="0" t="0" r="6985" b="381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56D95D4" w14:textId="16C63D75" w:rsidR="00A33B81" w:rsidRDefault="00293605" w:rsidP="006779EA">
      <w:pPr>
        <w:pStyle w:val="Caption"/>
        <w:jc w:val="center"/>
        <w:rPr>
          <w:rFonts w:asciiTheme="majorBidi" w:hAnsiTheme="majorBidi" w:cstheme="majorBidi"/>
        </w:rPr>
      </w:pPr>
      <w:bookmarkStart w:id="11" w:name="_Ref532812119"/>
      <w:bookmarkStart w:id="12" w:name="_Toc532816244"/>
      <w:bookmarkStart w:id="13" w:name="_Toc7519883"/>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2</w:t>
      </w:r>
      <w:r w:rsidR="007B70FA">
        <w:rPr>
          <w:noProof/>
        </w:rPr>
        <w:fldChar w:fldCharType="end"/>
      </w:r>
      <w:bookmarkEnd w:id="11"/>
      <w:r>
        <w:t xml:space="preserve">. </w:t>
      </w:r>
      <w:r w:rsidR="00731DBA">
        <w:t>Distribution of Bridge-Length of Max. s</w:t>
      </w:r>
      <w:r w:rsidRPr="00293605">
        <w:t>pan (ft)</w:t>
      </w:r>
      <w:bookmarkEnd w:id="12"/>
      <w:bookmarkEnd w:id="13"/>
    </w:p>
    <w:p w14:paraId="3EC89757" w14:textId="77777777" w:rsidR="00A33B81" w:rsidRDefault="00A33B81" w:rsidP="00471119">
      <w:pPr>
        <w:rPr>
          <w:rFonts w:cstheme="majorBidi"/>
        </w:rPr>
      </w:pPr>
    </w:p>
    <w:p w14:paraId="350A2546" w14:textId="77777777" w:rsidR="00006AC4" w:rsidRDefault="00006AC4" w:rsidP="006779EA">
      <w:pPr>
        <w:keepNext/>
        <w:jc w:val="center"/>
      </w:pPr>
      <w:r>
        <w:rPr>
          <w:noProof/>
          <w14:textOutline w14:w="0" w14:cap="rnd" w14:cmpd="sng" w14:algn="ctr">
            <w14:noFill/>
            <w14:prstDash w14:val="solid"/>
            <w14:bevel/>
          </w14:textOutline>
        </w:rPr>
        <w:lastRenderedPageBreak/>
        <w:drawing>
          <wp:inline distT="0" distB="0" distL="0" distR="0" wp14:anchorId="10597DD9" wp14:editId="6516C5C7">
            <wp:extent cx="4824413" cy="3019425"/>
            <wp:effectExtent l="0" t="0" r="14605" b="952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D383582" w14:textId="335BAD65" w:rsidR="00B171C3" w:rsidRPr="00107F76" w:rsidRDefault="00006AC4" w:rsidP="00107F76">
      <w:pPr>
        <w:pStyle w:val="Caption"/>
        <w:jc w:val="center"/>
        <w:rPr>
          <w:rFonts w:asciiTheme="majorBidi" w:hAnsiTheme="majorBidi" w:cstheme="majorBidi"/>
        </w:rPr>
      </w:pPr>
      <w:bookmarkStart w:id="14" w:name="_Ref532812447"/>
      <w:bookmarkStart w:id="15" w:name="_Toc532816245"/>
      <w:bookmarkStart w:id="16" w:name="_Toc7519884"/>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3</w:t>
      </w:r>
      <w:r w:rsidR="007B70FA">
        <w:rPr>
          <w:noProof/>
        </w:rPr>
        <w:fldChar w:fldCharType="end"/>
      </w:r>
      <w:bookmarkEnd w:id="14"/>
      <w:r>
        <w:t xml:space="preserve">. </w:t>
      </w:r>
      <w:r w:rsidRPr="00006AC4">
        <w:t xml:space="preserve">Distribution of Bridge-Number of </w:t>
      </w:r>
      <w:r w:rsidR="00731DBA">
        <w:t>s</w:t>
      </w:r>
      <w:r w:rsidRPr="00006AC4">
        <w:t>pan</w:t>
      </w:r>
      <w:bookmarkEnd w:id="15"/>
      <w:bookmarkEnd w:id="16"/>
    </w:p>
    <w:p w14:paraId="01D5EADB" w14:textId="76061654" w:rsidR="003651C1" w:rsidRPr="00C91B1F" w:rsidRDefault="003651C1" w:rsidP="006779EA">
      <w:pPr>
        <w:pStyle w:val="Heading3"/>
      </w:pPr>
      <w:bookmarkStart w:id="17" w:name="_Toc7519835"/>
      <w:r w:rsidRPr="00C91B1F">
        <w:t>Number of Lane</w:t>
      </w:r>
      <w:r w:rsidR="0020137A" w:rsidRPr="00C91B1F">
        <w:t>s</w:t>
      </w:r>
      <w:bookmarkEnd w:id="17"/>
    </w:p>
    <w:p w14:paraId="62C53568" w14:textId="6DF9AADF" w:rsidR="003651C1" w:rsidRDefault="00616A61" w:rsidP="00DB1E32">
      <w:pPr>
        <w:spacing w:line="276" w:lineRule="auto"/>
        <w:jc w:val="both"/>
        <w:rPr>
          <w:rFonts w:cstheme="majorBidi"/>
        </w:rPr>
      </w:pPr>
      <w:r w:rsidRPr="00B06D10">
        <w:rPr>
          <w:rFonts w:cstheme="majorBidi"/>
        </w:rPr>
        <w:t>Number of lane</w:t>
      </w:r>
      <w:r w:rsidR="00806811">
        <w:rPr>
          <w:rFonts w:cstheme="majorBidi"/>
        </w:rPr>
        <w:t>s</w:t>
      </w:r>
      <w:r w:rsidRPr="00B06D10">
        <w:rPr>
          <w:rFonts w:cstheme="majorBidi"/>
        </w:rPr>
        <w:t xml:space="preserve"> is determined based on </w:t>
      </w:r>
      <w:r w:rsidR="00B06D10">
        <w:rPr>
          <w:rFonts w:cstheme="majorBidi"/>
        </w:rPr>
        <w:t>parameters such as average annual daily traffic (ADTT), the desired level of service, percent of trucks and peak hour factor (PHF)</w:t>
      </w:r>
      <w:r w:rsidR="00806811">
        <w:rPr>
          <w:rFonts w:cstheme="majorBidi"/>
        </w:rPr>
        <w:t>, and the number of lanes in the connecting roadway</w:t>
      </w:r>
      <w:r w:rsidR="00130BE9">
        <w:rPr>
          <w:rFonts w:cstheme="majorBidi"/>
        </w:rPr>
        <w:t xml:space="preserve">. </w:t>
      </w:r>
      <w:r w:rsidR="00806811">
        <w:rPr>
          <w:rFonts w:cstheme="majorBidi"/>
        </w:rPr>
        <w:t>L</w:t>
      </w:r>
      <w:r w:rsidR="004F7F25">
        <w:rPr>
          <w:rFonts w:cstheme="majorBidi"/>
        </w:rPr>
        <w:t>oading configuration for desig</w:t>
      </w:r>
      <w:r w:rsidR="00806811">
        <w:rPr>
          <w:rFonts w:cstheme="majorBidi"/>
        </w:rPr>
        <w:t xml:space="preserve">n and evaluation of </w:t>
      </w:r>
      <w:r w:rsidR="004F7F25">
        <w:rPr>
          <w:rFonts w:cstheme="majorBidi"/>
        </w:rPr>
        <w:t xml:space="preserve">a bridge </w:t>
      </w:r>
      <w:r w:rsidR="00806811">
        <w:rPr>
          <w:rFonts w:cstheme="majorBidi"/>
        </w:rPr>
        <w:t>depends on</w:t>
      </w:r>
      <w:r w:rsidR="004F7F25">
        <w:rPr>
          <w:rFonts w:cstheme="majorBidi"/>
        </w:rPr>
        <w:t xml:space="preserve"> the number of lanes</w:t>
      </w:r>
      <w:r w:rsidR="00806811">
        <w:rPr>
          <w:rFonts w:cstheme="majorBidi"/>
        </w:rPr>
        <w:t>, therefore making it</w:t>
      </w:r>
      <w:r w:rsidR="004F7F25">
        <w:rPr>
          <w:rFonts w:cstheme="majorBidi"/>
        </w:rPr>
        <w:t xml:space="preserve"> </w:t>
      </w:r>
      <w:r w:rsidR="00806811">
        <w:rPr>
          <w:rFonts w:cstheme="majorBidi"/>
        </w:rPr>
        <w:t>an</w:t>
      </w:r>
      <w:r w:rsidR="00C91B1F">
        <w:rPr>
          <w:rFonts w:cstheme="majorBidi"/>
        </w:rPr>
        <w:t>other</w:t>
      </w:r>
      <w:r w:rsidR="00806811">
        <w:rPr>
          <w:rFonts w:cstheme="majorBidi"/>
        </w:rPr>
        <w:t xml:space="preserve"> effective parameter in</w:t>
      </w:r>
      <w:r w:rsidR="004F7F25">
        <w:rPr>
          <w:rFonts w:cstheme="majorBidi"/>
        </w:rPr>
        <w:t xml:space="preserve"> redundancy evaluation. </w:t>
      </w:r>
      <w:r w:rsidR="00C91B1F">
        <w:rPr>
          <w:rFonts w:cstheme="majorBidi"/>
        </w:rPr>
        <w:t>As shown in</w:t>
      </w:r>
      <w:r w:rsidR="00006AC4">
        <w:rPr>
          <w:rFonts w:cstheme="majorBidi"/>
        </w:rPr>
        <w:t xml:space="preserve"> </w:t>
      </w:r>
      <w:r w:rsidR="00006AC4">
        <w:rPr>
          <w:rFonts w:cstheme="majorBidi"/>
        </w:rPr>
        <w:fldChar w:fldCharType="begin"/>
      </w:r>
      <w:r w:rsidR="00006AC4">
        <w:rPr>
          <w:rFonts w:cstheme="majorBidi"/>
        </w:rPr>
        <w:instrText xml:space="preserve"> REF _Ref532812917 \h  \* MERGEFORMAT </w:instrText>
      </w:r>
      <w:r w:rsidR="00006AC4">
        <w:rPr>
          <w:rFonts w:cstheme="majorBidi"/>
        </w:rPr>
      </w:r>
      <w:r w:rsidR="00006AC4">
        <w:rPr>
          <w:rFonts w:cstheme="majorBidi"/>
        </w:rPr>
        <w:fldChar w:fldCharType="separate"/>
      </w:r>
      <w:r w:rsidR="00BF057C" w:rsidRPr="00BF057C">
        <w:rPr>
          <w:rFonts w:cstheme="majorBidi"/>
        </w:rPr>
        <w:t>Figure 4</w:t>
      </w:r>
      <w:r w:rsidR="00006AC4">
        <w:rPr>
          <w:rFonts w:cstheme="majorBidi"/>
        </w:rPr>
        <w:fldChar w:fldCharType="end"/>
      </w:r>
      <w:r w:rsidR="004F7F25">
        <w:rPr>
          <w:rFonts w:cstheme="majorBidi"/>
        </w:rPr>
        <w:t>, s</w:t>
      </w:r>
      <w:r w:rsidR="00130BE9">
        <w:rPr>
          <w:rFonts w:cstheme="majorBidi"/>
        </w:rPr>
        <w:t>tati</w:t>
      </w:r>
      <w:r w:rsidR="00806811">
        <w:rPr>
          <w:rFonts w:cstheme="majorBidi"/>
        </w:rPr>
        <w:t>sti</w:t>
      </w:r>
      <w:r w:rsidR="00130BE9">
        <w:rPr>
          <w:rFonts w:cstheme="majorBidi"/>
        </w:rPr>
        <w:t>cal analysis over the Florida bridge inventory shows that</w:t>
      </w:r>
      <w:r w:rsidR="008850AE">
        <w:rPr>
          <w:rFonts w:cstheme="majorBidi"/>
        </w:rPr>
        <w:t xml:space="preserve"> </w:t>
      </w:r>
      <w:r w:rsidR="003651C1" w:rsidRPr="00E271E1">
        <w:rPr>
          <w:rFonts w:cstheme="majorBidi"/>
        </w:rPr>
        <w:t>92% of twin steel box girder bridge</w:t>
      </w:r>
      <w:r w:rsidR="00806811">
        <w:rPr>
          <w:rFonts w:cstheme="majorBidi"/>
        </w:rPr>
        <w:t>s</w:t>
      </w:r>
      <w:r w:rsidR="003651C1" w:rsidRPr="00E271E1">
        <w:rPr>
          <w:rFonts w:cstheme="majorBidi"/>
        </w:rPr>
        <w:t xml:space="preserve"> have 1 or 2 lanes,</w:t>
      </w:r>
      <w:r w:rsidR="008850AE">
        <w:rPr>
          <w:rFonts w:cstheme="majorBidi"/>
        </w:rPr>
        <w:t xml:space="preserve"> which are generally used for overpass</w:t>
      </w:r>
      <w:r w:rsidR="004F7F25">
        <w:rPr>
          <w:rFonts w:cstheme="majorBidi"/>
        </w:rPr>
        <w:t xml:space="preserve"> </w:t>
      </w:r>
      <w:r w:rsidR="00806811">
        <w:rPr>
          <w:rFonts w:cstheme="majorBidi"/>
        </w:rPr>
        <w:t>road</w:t>
      </w:r>
      <w:r w:rsidR="004F7F25">
        <w:rPr>
          <w:rFonts w:cstheme="majorBidi"/>
        </w:rPr>
        <w:t>ways</w:t>
      </w:r>
      <w:r w:rsidR="008850AE">
        <w:rPr>
          <w:rFonts w:cstheme="majorBidi"/>
        </w:rPr>
        <w:t xml:space="preserve">. </w:t>
      </w:r>
      <w:r w:rsidR="00806811">
        <w:rPr>
          <w:rFonts w:cstheme="majorBidi"/>
        </w:rPr>
        <w:t>Therefore</w:t>
      </w:r>
      <w:r w:rsidR="008850AE">
        <w:rPr>
          <w:rFonts w:cstheme="majorBidi"/>
        </w:rPr>
        <w:t xml:space="preserve">, </w:t>
      </w:r>
      <w:r w:rsidR="00C91B1F">
        <w:rPr>
          <w:rFonts w:cstheme="majorBidi"/>
        </w:rPr>
        <w:t xml:space="preserve">because of their lower percentage number, </w:t>
      </w:r>
      <w:r w:rsidR="003651C1" w:rsidRPr="00E271E1">
        <w:rPr>
          <w:rFonts w:cstheme="majorBidi"/>
        </w:rPr>
        <w:t>bridge</w:t>
      </w:r>
      <w:r w:rsidR="00B91616">
        <w:rPr>
          <w:rFonts w:cstheme="majorBidi"/>
        </w:rPr>
        <w:t>s</w:t>
      </w:r>
      <w:r w:rsidR="003651C1" w:rsidRPr="00E271E1">
        <w:rPr>
          <w:rFonts w:cstheme="majorBidi"/>
        </w:rPr>
        <w:t xml:space="preserve"> with 3 or 4 lanes</w:t>
      </w:r>
      <w:r w:rsidR="00806811">
        <w:rPr>
          <w:rFonts w:cstheme="majorBidi"/>
        </w:rPr>
        <w:t>, for the time being, are</w:t>
      </w:r>
      <w:r w:rsidR="003651C1" w:rsidRPr="00E271E1">
        <w:rPr>
          <w:rFonts w:cstheme="majorBidi"/>
        </w:rPr>
        <w:t xml:space="preserve"> </w:t>
      </w:r>
      <w:r w:rsidR="00C91B1F">
        <w:rPr>
          <w:rFonts w:cstheme="majorBidi"/>
        </w:rPr>
        <w:t xml:space="preserve">not considered in </w:t>
      </w:r>
      <w:r w:rsidR="003651C1" w:rsidRPr="00E271E1">
        <w:rPr>
          <w:rFonts w:cstheme="majorBidi"/>
        </w:rPr>
        <w:t xml:space="preserve">the </w:t>
      </w:r>
      <w:r w:rsidR="008850AE">
        <w:rPr>
          <w:rFonts w:cstheme="majorBidi"/>
        </w:rPr>
        <w:t>grouping criteria</w:t>
      </w:r>
      <w:r w:rsidR="00A67F06">
        <w:rPr>
          <w:rFonts w:cstheme="majorBidi"/>
        </w:rPr>
        <w:t xml:space="preserve">. </w:t>
      </w:r>
      <w:r w:rsidR="000135A7">
        <w:rPr>
          <w:rFonts w:cstheme="majorBidi"/>
        </w:rPr>
        <w:t xml:space="preserve">Also, </w:t>
      </w:r>
      <w:r w:rsidR="003651C1" w:rsidRPr="00E271E1">
        <w:rPr>
          <w:rFonts w:cstheme="majorBidi"/>
        </w:rPr>
        <w:t xml:space="preserve">for all </w:t>
      </w:r>
      <w:r w:rsidR="00C91B1F">
        <w:rPr>
          <w:rFonts w:cstheme="majorBidi"/>
        </w:rPr>
        <w:t xml:space="preserve">the remaining </w:t>
      </w:r>
      <w:r w:rsidR="00B91616">
        <w:rPr>
          <w:rFonts w:cstheme="majorBidi"/>
        </w:rPr>
        <w:t>single and double</w:t>
      </w:r>
      <w:r w:rsidR="00A67F06">
        <w:rPr>
          <w:rFonts w:cstheme="majorBidi"/>
        </w:rPr>
        <w:t>-</w:t>
      </w:r>
      <w:r w:rsidR="00B91616">
        <w:rPr>
          <w:rFonts w:cstheme="majorBidi"/>
        </w:rPr>
        <w:t xml:space="preserve">lane </w:t>
      </w:r>
      <w:r w:rsidR="003651C1" w:rsidRPr="00E271E1">
        <w:rPr>
          <w:rFonts w:cstheme="majorBidi"/>
        </w:rPr>
        <w:t>bridge</w:t>
      </w:r>
      <w:r w:rsidR="00B91616">
        <w:rPr>
          <w:rFonts w:cstheme="majorBidi"/>
        </w:rPr>
        <w:t>s</w:t>
      </w:r>
      <w:r w:rsidR="00C91B1F">
        <w:rPr>
          <w:rFonts w:cstheme="majorBidi"/>
        </w:rPr>
        <w:t>,</w:t>
      </w:r>
      <w:r w:rsidR="00C91B1F" w:rsidRPr="00E271E1">
        <w:rPr>
          <w:rFonts w:cstheme="majorBidi"/>
        </w:rPr>
        <w:t xml:space="preserve"> 2</w:t>
      </w:r>
      <w:r w:rsidR="00C91B1F">
        <w:rPr>
          <w:rFonts w:cstheme="majorBidi"/>
        </w:rPr>
        <w:t>-</w:t>
      </w:r>
      <w:r w:rsidR="00C91B1F" w:rsidRPr="00E271E1">
        <w:rPr>
          <w:rFonts w:cstheme="majorBidi"/>
        </w:rPr>
        <w:t>lane</w:t>
      </w:r>
      <w:r w:rsidR="00C91B1F">
        <w:rPr>
          <w:rFonts w:cstheme="majorBidi"/>
        </w:rPr>
        <w:t xml:space="preserve"> bridges</w:t>
      </w:r>
      <w:r w:rsidR="00C91B1F" w:rsidRPr="00E271E1">
        <w:rPr>
          <w:rFonts w:cstheme="majorBidi"/>
        </w:rPr>
        <w:t xml:space="preserve"> </w:t>
      </w:r>
      <w:r w:rsidR="00C91B1F">
        <w:rPr>
          <w:rFonts w:cstheme="majorBidi"/>
        </w:rPr>
        <w:t>will be</w:t>
      </w:r>
      <w:r w:rsidR="00C91B1F" w:rsidRPr="00E271E1">
        <w:rPr>
          <w:rFonts w:cstheme="majorBidi"/>
        </w:rPr>
        <w:t xml:space="preserve"> used</w:t>
      </w:r>
      <w:r w:rsidR="003651C1" w:rsidRPr="00E271E1">
        <w:rPr>
          <w:rFonts w:cstheme="majorBidi"/>
        </w:rPr>
        <w:t xml:space="preserve"> </w:t>
      </w:r>
      <w:r w:rsidR="00C91B1F">
        <w:rPr>
          <w:rFonts w:cstheme="majorBidi"/>
        </w:rPr>
        <w:t xml:space="preserve">conservatively </w:t>
      </w:r>
      <w:r w:rsidR="003651C1" w:rsidRPr="00E271E1">
        <w:rPr>
          <w:rFonts w:cstheme="majorBidi"/>
        </w:rPr>
        <w:t>in the grouping process.</w:t>
      </w:r>
    </w:p>
    <w:p w14:paraId="35C5B0BE" w14:textId="77777777" w:rsidR="00DB1E32" w:rsidRPr="00E271E1" w:rsidRDefault="00DB1E32">
      <w:pPr>
        <w:jc w:val="both"/>
        <w:rPr>
          <w:rFonts w:cstheme="majorBidi"/>
        </w:rPr>
      </w:pPr>
    </w:p>
    <w:p w14:paraId="788E4209" w14:textId="77777777" w:rsidR="00006AC4" w:rsidRDefault="00006AC4" w:rsidP="00564C7A">
      <w:pPr>
        <w:keepNext/>
        <w:jc w:val="center"/>
      </w:pPr>
      <w:r>
        <w:rPr>
          <w:noProof/>
          <w14:textOutline w14:w="0" w14:cap="rnd" w14:cmpd="sng" w14:algn="ctr">
            <w14:noFill/>
            <w14:prstDash w14:val="solid"/>
            <w14:bevel/>
          </w14:textOutline>
        </w:rPr>
        <w:lastRenderedPageBreak/>
        <w:drawing>
          <wp:inline distT="0" distB="0" distL="0" distR="0" wp14:anchorId="424DD439" wp14:editId="2B7B8C17">
            <wp:extent cx="4572000" cy="274320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0A523E4" w14:textId="08F6C134" w:rsidR="00471119" w:rsidRPr="00E271E1" w:rsidRDefault="00006AC4" w:rsidP="00564C7A">
      <w:pPr>
        <w:pStyle w:val="Caption"/>
        <w:jc w:val="center"/>
        <w:rPr>
          <w:rFonts w:asciiTheme="majorBidi" w:hAnsiTheme="majorBidi" w:cstheme="majorBidi"/>
        </w:rPr>
      </w:pPr>
      <w:bookmarkStart w:id="18" w:name="_Ref532812917"/>
      <w:bookmarkStart w:id="19" w:name="_Toc532816246"/>
      <w:bookmarkStart w:id="20" w:name="_Toc7519885"/>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4</w:t>
      </w:r>
      <w:r w:rsidR="007B70FA">
        <w:rPr>
          <w:noProof/>
        </w:rPr>
        <w:fldChar w:fldCharType="end"/>
      </w:r>
      <w:bookmarkEnd w:id="18"/>
      <w:r>
        <w:t xml:space="preserve">. </w:t>
      </w:r>
      <w:r w:rsidRPr="00006AC4">
        <w:t>Di</w:t>
      </w:r>
      <w:r w:rsidR="00731DBA">
        <w:t>stribution of Bridge-Number of l</w:t>
      </w:r>
      <w:r w:rsidRPr="00006AC4">
        <w:t>anes</w:t>
      </w:r>
      <w:bookmarkEnd w:id="19"/>
      <w:bookmarkEnd w:id="20"/>
    </w:p>
    <w:p w14:paraId="0D2817CA" w14:textId="34467AA8" w:rsidR="00471119" w:rsidRPr="00E271E1" w:rsidRDefault="0099570E" w:rsidP="0099570E">
      <w:pPr>
        <w:tabs>
          <w:tab w:val="left" w:pos="7073"/>
        </w:tabs>
        <w:rPr>
          <w:rFonts w:cstheme="majorBidi"/>
        </w:rPr>
      </w:pPr>
      <w:r>
        <w:rPr>
          <w:rFonts w:cstheme="majorBidi"/>
        </w:rPr>
        <w:tab/>
      </w:r>
    </w:p>
    <w:p w14:paraId="19489CCE" w14:textId="116E3028" w:rsidR="008850AE" w:rsidRDefault="008850AE" w:rsidP="00564C7A">
      <w:pPr>
        <w:pStyle w:val="Heading3"/>
      </w:pPr>
      <w:bookmarkStart w:id="21" w:name="_Toc7519836"/>
      <w:r w:rsidRPr="008850AE">
        <w:t>Deck</w:t>
      </w:r>
      <w:r w:rsidR="00A67F06">
        <w:t xml:space="preserve"> Width</w:t>
      </w:r>
      <w:bookmarkEnd w:id="21"/>
    </w:p>
    <w:p w14:paraId="72CC1B7A" w14:textId="1014295F" w:rsidR="00AD26C7" w:rsidRDefault="00A67F06" w:rsidP="00DB1E32">
      <w:pPr>
        <w:spacing w:line="276" w:lineRule="auto"/>
        <w:jc w:val="both"/>
        <w:rPr>
          <w:rFonts w:cstheme="majorBidi"/>
        </w:rPr>
      </w:pPr>
      <w:r>
        <w:rPr>
          <w:rFonts w:cstheme="majorBidi"/>
        </w:rPr>
        <w:t>A</w:t>
      </w:r>
      <w:r w:rsidR="003133C6">
        <w:rPr>
          <w:rFonts w:cstheme="majorBidi"/>
        </w:rPr>
        <w:t xml:space="preserve"> typical lane width is </w:t>
      </w:r>
      <w:r w:rsidR="0079293E">
        <w:rPr>
          <w:rFonts w:cstheme="majorBidi"/>
        </w:rPr>
        <w:t xml:space="preserve">12 </w:t>
      </w:r>
      <w:r w:rsidR="003D7BCB">
        <w:rPr>
          <w:rFonts w:cstheme="majorBidi"/>
        </w:rPr>
        <w:t>ft</w:t>
      </w:r>
      <w:r w:rsidR="00AD26C7">
        <w:rPr>
          <w:rFonts w:cstheme="majorBidi"/>
        </w:rPr>
        <w:t>, however, t</w:t>
      </w:r>
      <w:r w:rsidR="00AD26C7" w:rsidRPr="00AD26C7">
        <w:rPr>
          <w:rFonts w:cstheme="majorBidi"/>
        </w:rPr>
        <w:t xml:space="preserve">he </w:t>
      </w:r>
      <w:r w:rsidR="000769E3">
        <w:rPr>
          <w:rFonts w:cstheme="majorBidi"/>
        </w:rPr>
        <w:t>actual</w:t>
      </w:r>
      <w:r w:rsidR="000769E3" w:rsidRPr="00AD26C7">
        <w:rPr>
          <w:rFonts w:cstheme="majorBidi"/>
        </w:rPr>
        <w:t xml:space="preserve"> </w:t>
      </w:r>
      <w:r w:rsidR="00AD26C7" w:rsidRPr="00AD26C7">
        <w:rPr>
          <w:rFonts w:cstheme="majorBidi"/>
        </w:rPr>
        <w:t xml:space="preserve">width </w:t>
      </w:r>
      <w:r>
        <w:rPr>
          <w:rFonts w:cstheme="majorBidi"/>
        </w:rPr>
        <w:t>can</w:t>
      </w:r>
      <w:r w:rsidR="00AD26C7" w:rsidRPr="00AD26C7">
        <w:rPr>
          <w:rFonts w:cstheme="majorBidi"/>
        </w:rPr>
        <w:t xml:space="preserve"> vary based on the type of roadway, whether it is a principal arterial, rural highwa</w:t>
      </w:r>
      <w:r w:rsidR="00AD26C7">
        <w:rPr>
          <w:rFonts w:cstheme="majorBidi"/>
        </w:rPr>
        <w:t>y or residential street</w:t>
      </w:r>
      <w:r w:rsidR="000769E3">
        <w:rPr>
          <w:rFonts w:cstheme="majorBidi"/>
        </w:rPr>
        <w:t>, or whether it is in straight or curved span</w:t>
      </w:r>
      <w:r>
        <w:rPr>
          <w:rFonts w:cstheme="majorBidi"/>
        </w:rPr>
        <w:t>.  Further</w:t>
      </w:r>
      <w:r w:rsidR="00AD26C7">
        <w:rPr>
          <w:rFonts w:cstheme="majorBidi"/>
        </w:rPr>
        <w:t xml:space="preserve">, </w:t>
      </w:r>
      <w:r w:rsidR="003133C6">
        <w:rPr>
          <w:rFonts w:cstheme="majorBidi"/>
        </w:rPr>
        <w:t xml:space="preserve">the lane closest to a raised median </w:t>
      </w:r>
      <w:r w:rsidR="00AD26C7">
        <w:rPr>
          <w:rFonts w:cstheme="majorBidi"/>
        </w:rPr>
        <w:t xml:space="preserve">or in a ramp </w:t>
      </w:r>
      <w:r w:rsidR="003133C6">
        <w:rPr>
          <w:rFonts w:cstheme="majorBidi"/>
        </w:rPr>
        <w:t xml:space="preserve">may be extra wide to allow for some distance between vehicle and the median. </w:t>
      </w:r>
      <w:r>
        <w:rPr>
          <w:rFonts w:cstheme="majorBidi"/>
        </w:rPr>
        <w:t xml:space="preserve">Deck width includes the lane widths plus shoulders, curbs and railings, and the larger the lane width, the more critical will be the effect of eccentric loading </w:t>
      </w:r>
      <w:r w:rsidR="00C91B1F">
        <w:rPr>
          <w:rFonts w:cstheme="majorBidi"/>
        </w:rPr>
        <w:t>(</w:t>
      </w:r>
      <w:r>
        <w:rPr>
          <w:rFonts w:cstheme="majorBidi"/>
        </w:rPr>
        <w:t>over fractured girder</w:t>
      </w:r>
      <w:r w:rsidR="00C91B1F">
        <w:rPr>
          <w:rFonts w:cstheme="majorBidi"/>
        </w:rPr>
        <w:t>)</w:t>
      </w:r>
      <w:r>
        <w:rPr>
          <w:rFonts w:cstheme="majorBidi"/>
        </w:rPr>
        <w:t xml:space="preserve">.  </w:t>
      </w:r>
      <w:r w:rsidR="00CF75C9">
        <w:rPr>
          <w:rFonts w:cstheme="majorBidi"/>
        </w:rPr>
        <w:t xml:space="preserve">Road width is normally 2 to 3 </w:t>
      </w:r>
      <w:r w:rsidR="003D7BCB">
        <w:rPr>
          <w:rFonts w:cstheme="majorBidi"/>
        </w:rPr>
        <w:t>ft</w:t>
      </w:r>
      <w:r w:rsidR="001F4564">
        <w:rPr>
          <w:rFonts w:cstheme="majorBidi"/>
        </w:rPr>
        <w:t xml:space="preserve"> </w:t>
      </w:r>
      <w:r w:rsidR="00CF75C9">
        <w:rPr>
          <w:rFonts w:cstheme="majorBidi"/>
        </w:rPr>
        <w:t xml:space="preserve">smaller than deck width.  </w:t>
      </w:r>
      <w:r w:rsidR="00834EB5">
        <w:rPr>
          <w:rFonts w:cstheme="majorBidi"/>
        </w:rPr>
        <w:t>Analysis</w:t>
      </w:r>
      <w:r>
        <w:rPr>
          <w:rFonts w:cstheme="majorBidi"/>
        </w:rPr>
        <w:t xml:space="preserve"> of invento</w:t>
      </w:r>
      <w:r w:rsidR="00975173">
        <w:rPr>
          <w:rFonts w:cstheme="majorBidi"/>
        </w:rPr>
        <w:t xml:space="preserve">ry bridges show that the deck width </w:t>
      </w:r>
      <w:r w:rsidR="00CF75C9">
        <w:rPr>
          <w:rFonts w:cstheme="majorBidi"/>
        </w:rPr>
        <w:t xml:space="preserve">varies within a range for certain number of lanes.  For example, deck width for a two-lane bridge varies between </w:t>
      </w:r>
      <w:r w:rsidR="000135A7">
        <w:rPr>
          <w:rFonts w:cstheme="majorBidi"/>
        </w:rPr>
        <w:t xml:space="preserve">40 </w:t>
      </w:r>
      <w:r w:rsidR="003D7BCB">
        <w:rPr>
          <w:rFonts w:cstheme="majorBidi"/>
        </w:rPr>
        <w:t>ft</w:t>
      </w:r>
      <w:r w:rsidR="000135A7">
        <w:rPr>
          <w:rFonts w:cstheme="majorBidi"/>
        </w:rPr>
        <w:t xml:space="preserve"> </w:t>
      </w:r>
      <w:r w:rsidR="00CF75C9">
        <w:rPr>
          <w:rFonts w:cstheme="majorBidi"/>
        </w:rPr>
        <w:t xml:space="preserve">and </w:t>
      </w:r>
      <w:r w:rsidR="000135A7">
        <w:rPr>
          <w:rFonts w:cstheme="majorBidi"/>
        </w:rPr>
        <w:t xml:space="preserve">50 </w:t>
      </w:r>
      <w:r w:rsidR="003D7BCB">
        <w:rPr>
          <w:rFonts w:cstheme="majorBidi"/>
        </w:rPr>
        <w:t>ft</w:t>
      </w:r>
      <w:r w:rsidR="007101EF">
        <w:rPr>
          <w:rFonts w:cstheme="majorBidi" w:hint="cs"/>
          <w:rtl/>
        </w:rPr>
        <w:t>.</w:t>
      </w:r>
      <w:r w:rsidR="00CF75C9">
        <w:rPr>
          <w:rFonts w:cstheme="majorBidi"/>
        </w:rPr>
        <w:t xml:space="preserve"> </w:t>
      </w:r>
      <w:r w:rsidR="007101EF">
        <w:rPr>
          <w:rFonts w:cstheme="majorBidi"/>
        </w:rPr>
        <w:t>For</w:t>
      </w:r>
      <w:r w:rsidR="00975173">
        <w:rPr>
          <w:rFonts w:cstheme="majorBidi"/>
        </w:rPr>
        <w:t xml:space="preserve"> this study, t</w:t>
      </w:r>
      <w:r w:rsidR="00074ED9">
        <w:rPr>
          <w:rFonts w:cstheme="majorBidi"/>
        </w:rPr>
        <w:t xml:space="preserve">he deck width </w:t>
      </w:r>
      <w:r w:rsidR="00536910" w:rsidRPr="00536910">
        <w:rPr>
          <w:rFonts w:cstheme="majorBidi"/>
        </w:rPr>
        <w:t>is not</w:t>
      </w:r>
      <w:r w:rsidR="00975173">
        <w:rPr>
          <w:rFonts w:cstheme="majorBidi"/>
        </w:rPr>
        <w:t xml:space="preserve"> considered a</w:t>
      </w:r>
      <w:r w:rsidR="00536910" w:rsidRPr="00536910">
        <w:rPr>
          <w:rFonts w:cstheme="majorBidi"/>
        </w:rPr>
        <w:t xml:space="preserve"> parameter</w:t>
      </w:r>
      <w:r w:rsidR="00975173">
        <w:rPr>
          <w:rFonts w:cstheme="majorBidi"/>
        </w:rPr>
        <w:t xml:space="preserve"> (variable)</w:t>
      </w:r>
      <w:r w:rsidR="00536910">
        <w:rPr>
          <w:rFonts w:cstheme="majorBidi"/>
        </w:rPr>
        <w:t xml:space="preserve">. </w:t>
      </w:r>
      <w:r w:rsidR="00CF75C9">
        <w:rPr>
          <w:rFonts w:cstheme="majorBidi"/>
        </w:rPr>
        <w:t xml:space="preserve"> For simplicity, it will be attempted to use in analysis a typical width that would represent the majority of two-lane bridges. </w:t>
      </w:r>
      <w:r w:rsidR="00DD59F9">
        <w:rPr>
          <w:rFonts w:cstheme="majorBidi"/>
        </w:rPr>
        <w:t>I</w:t>
      </w:r>
      <w:r w:rsidR="009F3F51">
        <w:rPr>
          <w:rFonts w:cstheme="majorBidi"/>
        </w:rPr>
        <w:t xml:space="preserve">t is </w:t>
      </w:r>
      <w:r w:rsidR="00DD59F9">
        <w:rPr>
          <w:rFonts w:cstheme="majorBidi"/>
        </w:rPr>
        <w:t xml:space="preserve">also </w:t>
      </w:r>
      <w:r w:rsidR="009F3F51">
        <w:rPr>
          <w:rFonts w:cstheme="majorBidi"/>
        </w:rPr>
        <w:t>realized that the design of a specific bridge including dimensions and spacing of the girders have already taken into account the deck width</w:t>
      </w:r>
      <w:r w:rsidR="00DD59F9">
        <w:rPr>
          <w:rFonts w:cstheme="majorBidi"/>
        </w:rPr>
        <w:t xml:space="preserve">, therefore renders it to be a dependable variable. </w:t>
      </w:r>
      <w:r w:rsidR="0009109D">
        <w:rPr>
          <w:rFonts w:cstheme="majorBidi"/>
        </w:rPr>
        <w:fldChar w:fldCharType="begin"/>
      </w:r>
      <w:r w:rsidR="0009109D">
        <w:rPr>
          <w:rFonts w:cstheme="majorBidi"/>
        </w:rPr>
        <w:instrText xml:space="preserve"> REF _Ref533076252 \h </w:instrText>
      </w:r>
      <w:r w:rsidR="00DB1E32">
        <w:rPr>
          <w:rFonts w:cstheme="majorBidi"/>
        </w:rPr>
        <w:instrText xml:space="preserve"> \* MERGEFORMAT </w:instrText>
      </w:r>
      <w:r w:rsidR="0009109D">
        <w:rPr>
          <w:rFonts w:cstheme="majorBidi"/>
        </w:rPr>
      </w:r>
      <w:r w:rsidR="0009109D">
        <w:rPr>
          <w:rFonts w:cstheme="majorBidi"/>
        </w:rPr>
        <w:fldChar w:fldCharType="separate"/>
      </w:r>
      <w:r w:rsidR="00BF057C">
        <w:t xml:space="preserve">Figure </w:t>
      </w:r>
      <w:r w:rsidR="00BF057C">
        <w:rPr>
          <w:noProof/>
        </w:rPr>
        <w:t>5</w:t>
      </w:r>
      <w:r w:rsidR="0009109D">
        <w:rPr>
          <w:rFonts w:cstheme="majorBidi"/>
        </w:rPr>
        <w:fldChar w:fldCharType="end"/>
      </w:r>
      <w:r w:rsidR="0009109D">
        <w:rPr>
          <w:rFonts w:cstheme="majorBidi"/>
        </w:rPr>
        <w:t xml:space="preserve"> </w:t>
      </w:r>
      <w:r w:rsidR="00023264">
        <w:rPr>
          <w:rFonts w:cstheme="majorBidi"/>
        </w:rPr>
        <w:t>shows the distribution of bridges based on the deck wi</w:t>
      </w:r>
      <w:r w:rsidR="00C91B1F">
        <w:rPr>
          <w:rFonts w:cstheme="majorBidi"/>
        </w:rPr>
        <w:t>d</w:t>
      </w:r>
      <w:r w:rsidR="00023264">
        <w:rPr>
          <w:rFonts w:cstheme="majorBidi"/>
        </w:rPr>
        <w:t>th.</w:t>
      </w:r>
      <w:r w:rsidR="00DD59F9">
        <w:rPr>
          <w:rFonts w:cstheme="majorBidi"/>
        </w:rPr>
        <w:t xml:space="preserve"> </w:t>
      </w:r>
    </w:p>
    <w:p w14:paraId="31B41949" w14:textId="77777777" w:rsidR="00DB1E32" w:rsidRDefault="00DB1E32" w:rsidP="0009109D">
      <w:pPr>
        <w:jc w:val="both"/>
        <w:rPr>
          <w:rFonts w:cstheme="majorBidi"/>
        </w:rPr>
      </w:pPr>
    </w:p>
    <w:p w14:paraId="5BE42F2E" w14:textId="77777777" w:rsidR="00314FFC" w:rsidRDefault="00314FFC" w:rsidP="00314FFC">
      <w:pPr>
        <w:keepNext/>
        <w:jc w:val="center"/>
      </w:pPr>
      <w:r>
        <w:rPr>
          <w:noProof/>
          <w14:textOutline w14:w="0" w14:cap="rnd" w14:cmpd="sng" w14:algn="ctr">
            <w14:noFill/>
            <w14:prstDash w14:val="solid"/>
            <w14:bevel/>
          </w14:textOutline>
        </w:rPr>
        <w:lastRenderedPageBreak/>
        <w:drawing>
          <wp:inline distT="0" distB="0" distL="0" distR="0" wp14:anchorId="7A0F9D73" wp14:editId="35DFEA32">
            <wp:extent cx="4572000" cy="2743200"/>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9E9C93" w14:textId="021DE93A" w:rsidR="00471119" w:rsidRDefault="00314FFC" w:rsidP="00314FFC">
      <w:pPr>
        <w:pStyle w:val="Caption"/>
        <w:jc w:val="center"/>
      </w:pPr>
      <w:bookmarkStart w:id="22" w:name="_Ref533076252"/>
      <w:bookmarkStart w:id="23" w:name="_Toc7519886"/>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5</w:t>
      </w:r>
      <w:r w:rsidR="007B70FA">
        <w:rPr>
          <w:noProof/>
        </w:rPr>
        <w:fldChar w:fldCharType="end"/>
      </w:r>
      <w:bookmarkEnd w:id="22"/>
      <w:r>
        <w:t xml:space="preserve">. </w:t>
      </w:r>
      <w:r w:rsidR="00731DBA">
        <w:t>Distribution of Bridge- Deck w</w:t>
      </w:r>
      <w:r w:rsidRPr="00314FFC">
        <w:t>idth</w:t>
      </w:r>
      <w:bookmarkEnd w:id="23"/>
    </w:p>
    <w:p w14:paraId="6DD03C20" w14:textId="77777777" w:rsidR="00314FFC" w:rsidRPr="00314FFC" w:rsidRDefault="00314FFC" w:rsidP="00314FFC"/>
    <w:p w14:paraId="67E0D8DD" w14:textId="690506A7" w:rsidR="00521E68" w:rsidRDefault="00521E68" w:rsidP="00564C7A">
      <w:pPr>
        <w:pStyle w:val="Heading3"/>
      </w:pPr>
      <w:bookmarkStart w:id="24" w:name="_Toc7519837"/>
      <w:r w:rsidRPr="00521E68">
        <w:t>Radius of Curvature</w:t>
      </w:r>
      <w:bookmarkEnd w:id="24"/>
    </w:p>
    <w:p w14:paraId="4EF04320" w14:textId="69F9AEFC" w:rsidR="0090197F" w:rsidRDefault="0090197F" w:rsidP="00DB1E32">
      <w:pPr>
        <w:spacing w:line="276" w:lineRule="auto"/>
        <w:jc w:val="both"/>
        <w:rPr>
          <w:rFonts w:cstheme="majorBidi"/>
        </w:rPr>
      </w:pPr>
      <w:r w:rsidRPr="00FA170C">
        <w:rPr>
          <w:rFonts w:cstheme="majorBidi"/>
        </w:rPr>
        <w:t xml:space="preserve">Whilst straight </w:t>
      </w:r>
      <w:r>
        <w:rPr>
          <w:rFonts w:cstheme="majorBidi"/>
        </w:rPr>
        <w:t xml:space="preserve">highway </w:t>
      </w:r>
      <w:r w:rsidRPr="00FA170C">
        <w:rPr>
          <w:rFonts w:cstheme="majorBidi"/>
        </w:rPr>
        <w:t>bridges are the ideal</w:t>
      </w:r>
      <w:r w:rsidR="00975173">
        <w:rPr>
          <w:rFonts w:cstheme="majorBidi"/>
        </w:rPr>
        <w:t xml:space="preserve"> configuration</w:t>
      </w:r>
      <w:r w:rsidR="00755645">
        <w:rPr>
          <w:rFonts w:cstheme="majorBidi"/>
        </w:rPr>
        <w:t xml:space="preserve"> when design is </w:t>
      </w:r>
      <w:r w:rsidR="007101EF">
        <w:rPr>
          <w:rFonts w:cstheme="majorBidi"/>
        </w:rPr>
        <w:t>concerned</w:t>
      </w:r>
      <w:r w:rsidRPr="00FA170C">
        <w:rPr>
          <w:rFonts w:cstheme="majorBidi"/>
        </w:rPr>
        <w:t>, bridge layouts may need to be curved</w:t>
      </w:r>
      <w:r>
        <w:rPr>
          <w:rFonts w:cstheme="majorBidi"/>
        </w:rPr>
        <w:t xml:space="preserve"> </w:t>
      </w:r>
      <w:r w:rsidR="009C14A3">
        <w:rPr>
          <w:rFonts w:cstheme="majorBidi"/>
        </w:rPr>
        <w:t>due to the site topology</w:t>
      </w:r>
      <w:r w:rsidR="00975173">
        <w:rPr>
          <w:rFonts w:cstheme="majorBidi"/>
        </w:rPr>
        <w:t xml:space="preserve">, </w:t>
      </w:r>
      <w:r w:rsidR="009C14A3">
        <w:rPr>
          <w:rFonts w:cstheme="majorBidi"/>
        </w:rPr>
        <w:t>existing obstacles</w:t>
      </w:r>
      <w:r w:rsidR="00975173">
        <w:rPr>
          <w:rFonts w:cstheme="majorBidi"/>
        </w:rPr>
        <w:t>, and roadway function (ramps)</w:t>
      </w:r>
      <w:r w:rsidR="009C14A3">
        <w:rPr>
          <w:rFonts w:cstheme="majorBidi"/>
        </w:rPr>
        <w:t xml:space="preserve">. The </w:t>
      </w:r>
      <w:r w:rsidR="004B50AC">
        <w:rPr>
          <w:rFonts w:cstheme="majorBidi"/>
        </w:rPr>
        <w:t xml:space="preserve">minimum </w:t>
      </w:r>
      <w:r w:rsidR="009C14A3">
        <w:rPr>
          <w:rFonts w:cstheme="majorBidi"/>
        </w:rPr>
        <w:t>radius of curvature</w:t>
      </w:r>
      <w:r w:rsidR="00755645">
        <w:rPr>
          <w:rFonts w:cstheme="majorBidi"/>
        </w:rPr>
        <w:t xml:space="preserve">, as shown in </w:t>
      </w:r>
      <w:r w:rsidR="00755645">
        <w:rPr>
          <w:rFonts w:cstheme="majorBidi"/>
        </w:rPr>
        <w:fldChar w:fldCharType="begin"/>
      </w:r>
      <w:r w:rsidR="00755645">
        <w:rPr>
          <w:rFonts w:cstheme="majorBidi"/>
        </w:rPr>
        <w:instrText xml:space="preserve"> REF _Ref531349432 \h  \* MERGEFORMAT </w:instrText>
      </w:r>
      <w:r w:rsidR="00755645">
        <w:rPr>
          <w:rFonts w:cstheme="majorBidi"/>
        </w:rPr>
      </w:r>
      <w:r w:rsidR="00755645">
        <w:rPr>
          <w:rFonts w:cstheme="majorBidi"/>
        </w:rPr>
        <w:fldChar w:fldCharType="separate"/>
      </w:r>
      <w:r w:rsidR="00BF057C" w:rsidRPr="00BF057C">
        <w:rPr>
          <w:rFonts w:cstheme="majorBidi"/>
        </w:rPr>
        <w:t>Figure 6</w:t>
      </w:r>
      <w:r w:rsidR="00755645">
        <w:rPr>
          <w:rFonts w:cstheme="majorBidi"/>
        </w:rPr>
        <w:fldChar w:fldCharType="end"/>
      </w:r>
      <w:r w:rsidR="00755645">
        <w:rPr>
          <w:rFonts w:cstheme="majorBidi"/>
        </w:rPr>
        <w:t>,</w:t>
      </w:r>
      <w:r w:rsidR="009C14A3">
        <w:rPr>
          <w:rFonts w:cstheme="majorBidi"/>
        </w:rPr>
        <w:t xml:space="preserve"> </w:t>
      </w:r>
      <w:r w:rsidR="00B222BB">
        <w:rPr>
          <w:rFonts w:cstheme="majorBidi"/>
        </w:rPr>
        <w:t>is</w:t>
      </w:r>
      <w:r w:rsidR="009C14A3">
        <w:rPr>
          <w:rFonts w:cstheme="majorBidi"/>
        </w:rPr>
        <w:t xml:space="preserve"> </w:t>
      </w:r>
      <w:r w:rsidR="00975173">
        <w:rPr>
          <w:rFonts w:cstheme="majorBidi"/>
        </w:rPr>
        <w:t xml:space="preserve">normally </w:t>
      </w:r>
      <w:r w:rsidR="009C14A3">
        <w:rPr>
          <w:rFonts w:cstheme="majorBidi"/>
        </w:rPr>
        <w:t>determined</w:t>
      </w:r>
      <w:r w:rsidR="00975173">
        <w:rPr>
          <w:rFonts w:cstheme="majorBidi"/>
        </w:rPr>
        <w:t xml:space="preserve"> based on</w:t>
      </w:r>
      <w:r w:rsidR="004B50AC">
        <w:rPr>
          <w:rFonts w:cstheme="majorBidi"/>
        </w:rPr>
        <w:t xml:space="preserve"> parameters such as design speed, slide friction factor, lateral acceleration, super-elevation</w:t>
      </w:r>
      <w:r w:rsidR="00975173">
        <w:rPr>
          <w:rFonts w:cstheme="majorBidi"/>
        </w:rPr>
        <w:t xml:space="preserve">, </w:t>
      </w:r>
      <w:r w:rsidR="009C14A3">
        <w:rPr>
          <w:rFonts w:cstheme="majorBidi"/>
        </w:rPr>
        <w:t>steel constructability</w:t>
      </w:r>
      <w:r w:rsidR="00975173">
        <w:rPr>
          <w:rFonts w:cstheme="majorBidi"/>
        </w:rPr>
        <w:t>, functional adequacy, space availability, etc</w:t>
      </w:r>
      <w:r w:rsidR="009C14A3">
        <w:rPr>
          <w:rFonts w:cstheme="majorBidi"/>
        </w:rPr>
        <w:t xml:space="preserve">. </w:t>
      </w:r>
      <w:r w:rsidR="006778A6">
        <w:rPr>
          <w:rFonts w:cstheme="majorBidi"/>
        </w:rPr>
        <w:t xml:space="preserve">As the radius of curvature of a bridge decrease, torsional moment increase due to the eccentricity of gravity loads relative to the line of support. This torsional moment is significant even for a short span bridge. </w:t>
      </w:r>
    </w:p>
    <w:p w14:paraId="373163ED" w14:textId="77777777" w:rsidR="00D13D1A" w:rsidRDefault="00D13D1A" w:rsidP="00DB1E32">
      <w:pPr>
        <w:spacing w:line="276" w:lineRule="auto"/>
        <w:jc w:val="both"/>
        <w:rPr>
          <w:rFonts w:cstheme="majorBidi"/>
        </w:rPr>
      </w:pPr>
    </w:p>
    <w:p w14:paraId="633DA129" w14:textId="48CBAF33" w:rsidR="00407C98" w:rsidRDefault="00755645" w:rsidP="00DB1E32">
      <w:pPr>
        <w:spacing w:line="276" w:lineRule="auto"/>
        <w:jc w:val="both"/>
        <w:rPr>
          <w:rFonts w:cstheme="majorBidi"/>
        </w:rPr>
      </w:pPr>
      <w:r>
        <w:rPr>
          <w:rFonts w:cstheme="majorBidi"/>
        </w:rPr>
        <w:t>Because of this, s</w:t>
      </w:r>
      <w:r w:rsidR="009C14A3">
        <w:rPr>
          <w:rFonts w:cstheme="majorBidi"/>
        </w:rPr>
        <w:t>teel box girder bridges because of their high torsional resistance</w:t>
      </w:r>
      <w:r w:rsidR="00512635">
        <w:rPr>
          <w:rFonts w:cstheme="majorBidi"/>
        </w:rPr>
        <w:t xml:space="preserve"> are mainly use</w:t>
      </w:r>
      <w:r w:rsidR="002E69D5">
        <w:rPr>
          <w:rFonts w:cstheme="majorBidi"/>
        </w:rPr>
        <w:t>d</w:t>
      </w:r>
      <w:r w:rsidR="00512635">
        <w:rPr>
          <w:rFonts w:cstheme="majorBidi"/>
        </w:rPr>
        <w:t xml:space="preserve"> for ram</w:t>
      </w:r>
      <w:r w:rsidR="005D2757">
        <w:rPr>
          <w:rFonts w:cstheme="majorBidi"/>
        </w:rPr>
        <w:t>p</w:t>
      </w:r>
      <w:r w:rsidR="006778A6">
        <w:rPr>
          <w:rFonts w:cstheme="majorBidi"/>
        </w:rPr>
        <w:t xml:space="preserve"> and </w:t>
      </w:r>
      <w:r w:rsidR="00DD59F9">
        <w:rPr>
          <w:rFonts w:cstheme="majorBidi"/>
        </w:rPr>
        <w:t xml:space="preserve">curved </w:t>
      </w:r>
      <w:r w:rsidR="006778A6">
        <w:rPr>
          <w:rFonts w:cstheme="majorBidi"/>
        </w:rPr>
        <w:t>overpass highway bridges</w:t>
      </w:r>
      <w:r w:rsidR="00DD59F9">
        <w:rPr>
          <w:rFonts w:cstheme="majorBidi"/>
        </w:rPr>
        <w:t>.</w:t>
      </w:r>
      <w:r w:rsidR="007F3129" w:rsidRPr="007F3129">
        <w:t xml:space="preserve"> </w:t>
      </w:r>
      <w:r w:rsidR="0023679F">
        <w:rPr>
          <w:rFonts w:cstheme="majorBidi"/>
        </w:rPr>
        <w:t>In cases where one girder is fractured, torsional resistanc</w:t>
      </w:r>
      <w:r w:rsidR="00975173">
        <w:rPr>
          <w:rFonts w:cstheme="majorBidi"/>
        </w:rPr>
        <w:t>e</w:t>
      </w:r>
      <w:r w:rsidR="0090197F">
        <w:rPr>
          <w:rFonts w:cstheme="majorBidi"/>
        </w:rPr>
        <w:t xml:space="preserve"> would decrease significantly, as a result, </w:t>
      </w:r>
      <w:r w:rsidR="0023679F">
        <w:rPr>
          <w:rFonts w:cstheme="majorBidi"/>
        </w:rPr>
        <w:t>loading eccentricity due to curvature</w:t>
      </w:r>
      <w:r>
        <w:rPr>
          <w:rFonts w:cstheme="majorBidi"/>
        </w:rPr>
        <w:t xml:space="preserve"> will</w:t>
      </w:r>
      <w:r w:rsidR="00DD59F9">
        <w:rPr>
          <w:rFonts w:cstheme="majorBidi"/>
        </w:rPr>
        <w:t xml:space="preserve"> </w:t>
      </w:r>
      <w:r w:rsidR="0023679F">
        <w:rPr>
          <w:rFonts w:cstheme="majorBidi"/>
        </w:rPr>
        <w:t>negatively affect the ultimate load capacity and serviceability of the bridge</w:t>
      </w:r>
      <w:r w:rsidR="00B86A75">
        <w:rPr>
          <w:rFonts w:cstheme="majorBidi"/>
        </w:rPr>
        <w:t xml:space="preserve"> and cannot be ignored</w:t>
      </w:r>
      <w:r w:rsidR="0023679F">
        <w:rPr>
          <w:rFonts w:cstheme="majorBidi"/>
        </w:rPr>
        <w:t xml:space="preserve">. </w:t>
      </w:r>
    </w:p>
    <w:p w14:paraId="7F8EF085" w14:textId="77777777" w:rsidR="0018621D" w:rsidRDefault="00F87136">
      <w:pPr>
        <w:keepNext/>
        <w:jc w:val="center"/>
      </w:pPr>
      <w:r w:rsidRPr="00F87136">
        <w:rPr>
          <w:rFonts w:cstheme="majorBidi"/>
          <w:noProof/>
        </w:rPr>
        <w:lastRenderedPageBreak/>
        <w:drawing>
          <wp:inline distT="0" distB="0" distL="0" distR="0" wp14:anchorId="48CD9818" wp14:editId="44C33359">
            <wp:extent cx="3649649" cy="2137759"/>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tretch>
                      <a:fillRect/>
                    </a:stretch>
                  </pic:blipFill>
                  <pic:spPr>
                    <a:xfrm>
                      <a:off x="0" y="0"/>
                      <a:ext cx="3664086" cy="2146215"/>
                    </a:xfrm>
                    <a:prstGeom prst="rect">
                      <a:avLst/>
                    </a:prstGeom>
                  </pic:spPr>
                </pic:pic>
              </a:graphicData>
            </a:graphic>
          </wp:inline>
        </w:drawing>
      </w:r>
    </w:p>
    <w:p w14:paraId="35C1311F" w14:textId="23F1614A" w:rsidR="00723770" w:rsidRDefault="0018621D" w:rsidP="007101EF">
      <w:pPr>
        <w:pStyle w:val="Caption"/>
        <w:jc w:val="center"/>
      </w:pPr>
      <w:bookmarkStart w:id="25" w:name="_Ref531349432"/>
      <w:bookmarkStart w:id="26" w:name="_Toc532816247"/>
      <w:bookmarkStart w:id="27" w:name="_Toc7519887"/>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6</w:t>
      </w:r>
      <w:r w:rsidR="007B70FA">
        <w:rPr>
          <w:noProof/>
        </w:rPr>
        <w:fldChar w:fldCharType="end"/>
      </w:r>
      <w:bookmarkEnd w:id="25"/>
      <w:r w:rsidR="00731DBA">
        <w:t>. Radius of c</w:t>
      </w:r>
      <w:r>
        <w:t>urvature</w:t>
      </w:r>
      <w:bookmarkEnd w:id="26"/>
      <w:bookmarkEnd w:id="27"/>
    </w:p>
    <w:p w14:paraId="38DC0ADA" w14:textId="77777777" w:rsidR="000F6BFE" w:rsidRPr="000F6BFE" w:rsidRDefault="000F6BFE" w:rsidP="000F6BFE"/>
    <w:p w14:paraId="3D932EF4" w14:textId="696B9281" w:rsidR="00707E5E" w:rsidRPr="00E271E1" w:rsidRDefault="00407C98" w:rsidP="00DB1E32">
      <w:pPr>
        <w:spacing w:line="276" w:lineRule="auto"/>
        <w:jc w:val="both"/>
        <w:rPr>
          <w:rFonts w:cstheme="majorBidi"/>
        </w:rPr>
      </w:pPr>
      <w:r w:rsidRPr="00407C98">
        <w:rPr>
          <w:rFonts w:cstheme="majorBidi"/>
        </w:rPr>
        <w:t xml:space="preserve">According to the AASHTO LRFD, the horizontal radius of curvature measured to the centerline of the girder web shall not be less than 150 </w:t>
      </w:r>
      <w:r w:rsidR="0067386B">
        <w:rPr>
          <w:rFonts w:cstheme="majorBidi"/>
        </w:rPr>
        <w:t>ft</w:t>
      </w:r>
      <w:r w:rsidR="00192E45">
        <w:rPr>
          <w:rFonts w:cstheme="majorBidi"/>
        </w:rPr>
        <w:t xml:space="preserve">. In addition, the radius shall not be less than 1000 </w:t>
      </w:r>
      <w:r w:rsidR="003D7BCB">
        <w:rPr>
          <w:rFonts w:cstheme="majorBidi"/>
        </w:rPr>
        <w:t>ft</w:t>
      </w:r>
      <w:r w:rsidR="00192E45">
        <w:rPr>
          <w:rFonts w:cstheme="majorBidi"/>
        </w:rPr>
        <w:t xml:space="preserve"> when the flange thickness exceeds 3.0 in or the flange width exceeds 30.0 in.</w:t>
      </w:r>
      <w:r w:rsidR="00A23F61">
        <w:rPr>
          <w:rFonts w:cstheme="majorBidi"/>
        </w:rPr>
        <w:t xml:space="preserve"> </w:t>
      </w:r>
      <w:r w:rsidR="001A1269">
        <w:rPr>
          <w:rFonts w:cstheme="majorBidi"/>
        </w:rPr>
        <w:fldChar w:fldCharType="begin"/>
      </w:r>
      <w:r w:rsidR="001A1269">
        <w:rPr>
          <w:rFonts w:cstheme="majorBidi"/>
        </w:rPr>
        <w:instrText xml:space="preserve"> REF _Ref531349813 \h </w:instrText>
      </w:r>
      <w:r w:rsidR="00DB1E32">
        <w:rPr>
          <w:rFonts w:cstheme="majorBidi"/>
        </w:rPr>
        <w:instrText xml:space="preserve"> \* MERGEFORMAT </w:instrText>
      </w:r>
      <w:r w:rsidR="001A1269">
        <w:rPr>
          <w:rFonts w:cstheme="majorBidi"/>
        </w:rPr>
      </w:r>
      <w:r w:rsidR="001A1269">
        <w:rPr>
          <w:rFonts w:cstheme="majorBidi"/>
        </w:rPr>
        <w:fldChar w:fldCharType="separate"/>
      </w:r>
      <w:r w:rsidR="00BF057C" w:rsidRPr="00E271E1">
        <w:rPr>
          <w:rFonts w:cstheme="majorBidi"/>
        </w:rPr>
        <w:t xml:space="preserve">Table </w:t>
      </w:r>
      <w:r w:rsidR="00BF057C">
        <w:rPr>
          <w:rFonts w:cstheme="majorBidi"/>
          <w:noProof/>
        </w:rPr>
        <w:t>2</w:t>
      </w:r>
      <w:r w:rsidR="001A1269">
        <w:rPr>
          <w:rFonts w:cstheme="majorBidi"/>
        </w:rPr>
        <w:fldChar w:fldCharType="end"/>
      </w:r>
      <w:r w:rsidR="001A1269">
        <w:rPr>
          <w:rFonts w:cstheme="majorBidi"/>
        </w:rPr>
        <w:t xml:space="preserve"> </w:t>
      </w:r>
      <w:r w:rsidR="00A23F61">
        <w:rPr>
          <w:rFonts w:cstheme="majorBidi"/>
        </w:rPr>
        <w:t xml:space="preserve">shows the available </w:t>
      </w:r>
      <w:r w:rsidR="00A46A62">
        <w:rPr>
          <w:rFonts w:cstheme="majorBidi"/>
        </w:rPr>
        <w:t xml:space="preserve">minimum </w:t>
      </w:r>
      <w:r w:rsidR="00A23F61">
        <w:rPr>
          <w:rFonts w:cstheme="majorBidi"/>
        </w:rPr>
        <w:t>radius of curvature for each span groups that would be used for grouping</w:t>
      </w:r>
      <w:r w:rsidR="00755645">
        <w:rPr>
          <w:rFonts w:cstheme="majorBidi"/>
        </w:rPr>
        <w:t xml:space="preserve"> representing the most critical combination of span length and curvature</w:t>
      </w:r>
      <w:r w:rsidR="00A23F61">
        <w:rPr>
          <w:rFonts w:cstheme="majorBidi"/>
        </w:rPr>
        <w:t xml:space="preserve">. </w:t>
      </w:r>
    </w:p>
    <w:p w14:paraId="5DF584FF" w14:textId="77777777" w:rsidR="00471119" w:rsidRPr="00E271E1" w:rsidRDefault="00471119" w:rsidP="00471119">
      <w:pPr>
        <w:pStyle w:val="Caption"/>
        <w:keepNext/>
        <w:jc w:val="center"/>
        <w:rPr>
          <w:rFonts w:asciiTheme="majorBidi" w:hAnsiTheme="majorBidi" w:cstheme="majorBidi"/>
        </w:rPr>
      </w:pPr>
    </w:p>
    <w:p w14:paraId="2EFC0274" w14:textId="42A83EFC" w:rsidR="00471119" w:rsidRDefault="00471119" w:rsidP="00471119">
      <w:pPr>
        <w:pStyle w:val="Caption"/>
        <w:keepNext/>
        <w:jc w:val="center"/>
        <w:rPr>
          <w:rFonts w:asciiTheme="majorBidi" w:hAnsiTheme="majorBidi" w:cstheme="majorBidi"/>
        </w:rPr>
      </w:pPr>
      <w:bookmarkStart w:id="28" w:name="_Ref531349813"/>
      <w:bookmarkStart w:id="29" w:name="_Toc7519873"/>
      <w:r w:rsidRPr="00E271E1">
        <w:rPr>
          <w:rFonts w:asciiTheme="majorBidi" w:hAnsiTheme="majorBidi" w:cstheme="majorBidi"/>
        </w:rPr>
        <w:t xml:space="preserve">Table </w:t>
      </w:r>
      <w:r w:rsidRPr="00E271E1">
        <w:rPr>
          <w:rFonts w:asciiTheme="majorBidi" w:hAnsiTheme="majorBidi" w:cstheme="majorBidi"/>
        </w:rPr>
        <w:fldChar w:fldCharType="begin"/>
      </w:r>
      <w:r w:rsidRPr="00E271E1">
        <w:rPr>
          <w:rFonts w:asciiTheme="majorBidi" w:hAnsiTheme="majorBidi" w:cstheme="majorBidi"/>
        </w:rPr>
        <w:instrText xml:space="preserve"> SEQ Table \* ARABIC </w:instrText>
      </w:r>
      <w:r w:rsidRPr="00E271E1">
        <w:rPr>
          <w:rFonts w:asciiTheme="majorBidi" w:hAnsiTheme="majorBidi" w:cstheme="majorBidi"/>
        </w:rPr>
        <w:fldChar w:fldCharType="separate"/>
      </w:r>
      <w:r w:rsidR="00BF057C">
        <w:rPr>
          <w:rFonts w:asciiTheme="majorBidi" w:hAnsiTheme="majorBidi" w:cstheme="majorBidi"/>
          <w:noProof/>
        </w:rPr>
        <w:t>2</w:t>
      </w:r>
      <w:r w:rsidRPr="00E271E1">
        <w:rPr>
          <w:rFonts w:asciiTheme="majorBidi" w:hAnsiTheme="majorBidi" w:cstheme="majorBidi"/>
          <w:noProof/>
        </w:rPr>
        <w:fldChar w:fldCharType="end"/>
      </w:r>
      <w:bookmarkEnd w:id="28"/>
      <w:r w:rsidRPr="00E271E1">
        <w:rPr>
          <w:rFonts w:asciiTheme="majorBidi" w:hAnsiTheme="majorBidi" w:cstheme="majorBidi"/>
        </w:rPr>
        <w:t>-Distribution of loading eccentricity based on bridge curvature</w:t>
      </w:r>
      <w:bookmarkEnd w:id="29"/>
    </w:p>
    <w:tbl>
      <w:tblPr>
        <w:tblW w:w="8630" w:type="dxa"/>
        <w:jc w:val="center"/>
        <w:tblLook w:val="04A0" w:firstRow="1" w:lastRow="0" w:firstColumn="1" w:lastColumn="0" w:noHBand="0" w:noVBand="1"/>
      </w:tblPr>
      <w:tblGrid>
        <w:gridCol w:w="3730"/>
        <w:gridCol w:w="980"/>
        <w:gridCol w:w="980"/>
        <w:gridCol w:w="980"/>
        <w:gridCol w:w="980"/>
        <w:gridCol w:w="980"/>
      </w:tblGrid>
      <w:tr w:rsidR="00A46A62" w:rsidRPr="00A46A62" w14:paraId="18B00618" w14:textId="77777777" w:rsidTr="00C6149C">
        <w:trPr>
          <w:trHeight w:val="315"/>
          <w:jc w:val="center"/>
        </w:trPr>
        <w:tc>
          <w:tcPr>
            <w:tcW w:w="3730" w:type="dxa"/>
            <w:tcBorders>
              <w:top w:val="single" w:sz="8" w:space="0" w:color="auto"/>
              <w:left w:val="nil"/>
              <w:bottom w:val="single" w:sz="8" w:space="0" w:color="auto"/>
              <w:right w:val="nil"/>
            </w:tcBorders>
            <w:shd w:val="clear" w:color="auto" w:fill="auto"/>
            <w:noWrap/>
            <w:vAlign w:val="center"/>
            <w:hideMark/>
          </w:tcPr>
          <w:p w14:paraId="357ED279" w14:textId="08CB769A"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Length of Max. Span (</w:t>
            </w:r>
            <w:r w:rsidR="003D7BCB">
              <w:rPr>
                <w:rFonts w:ascii="Times New Roman" w:eastAsia="Times New Roman" w:hAnsi="Times New Roman" w:cs="Times New Roman"/>
                <w:color w:val="000000"/>
                <w:sz w:val="22"/>
                <w:szCs w:val="22"/>
                <w14:textOutline w14:w="0" w14:cap="rnd" w14:cmpd="sng" w14:algn="ctr">
                  <w14:noFill/>
                  <w14:prstDash w14:val="solid"/>
                  <w14:bevel/>
                </w14:textOutline>
              </w:rPr>
              <w:t>ft</w:t>
            </w: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w:t>
            </w:r>
          </w:p>
        </w:tc>
        <w:tc>
          <w:tcPr>
            <w:tcW w:w="980" w:type="dxa"/>
            <w:tcBorders>
              <w:top w:val="single" w:sz="8" w:space="0" w:color="auto"/>
              <w:left w:val="nil"/>
              <w:bottom w:val="single" w:sz="8" w:space="0" w:color="auto"/>
              <w:right w:val="nil"/>
            </w:tcBorders>
            <w:shd w:val="clear" w:color="auto" w:fill="auto"/>
            <w:noWrap/>
            <w:vAlign w:val="center"/>
            <w:hideMark/>
          </w:tcPr>
          <w:p w14:paraId="5D5D3CCE"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100-150</w:t>
            </w:r>
          </w:p>
        </w:tc>
        <w:tc>
          <w:tcPr>
            <w:tcW w:w="980" w:type="dxa"/>
            <w:tcBorders>
              <w:top w:val="single" w:sz="8" w:space="0" w:color="auto"/>
              <w:left w:val="nil"/>
              <w:bottom w:val="single" w:sz="8" w:space="0" w:color="auto"/>
              <w:right w:val="nil"/>
            </w:tcBorders>
            <w:shd w:val="clear" w:color="auto" w:fill="auto"/>
            <w:noWrap/>
            <w:vAlign w:val="center"/>
            <w:hideMark/>
          </w:tcPr>
          <w:p w14:paraId="5CF2844D"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150-200</w:t>
            </w:r>
          </w:p>
        </w:tc>
        <w:tc>
          <w:tcPr>
            <w:tcW w:w="980" w:type="dxa"/>
            <w:tcBorders>
              <w:top w:val="single" w:sz="8" w:space="0" w:color="auto"/>
              <w:left w:val="nil"/>
              <w:bottom w:val="single" w:sz="8" w:space="0" w:color="auto"/>
              <w:right w:val="nil"/>
            </w:tcBorders>
            <w:shd w:val="clear" w:color="auto" w:fill="auto"/>
            <w:noWrap/>
            <w:vAlign w:val="center"/>
            <w:hideMark/>
          </w:tcPr>
          <w:p w14:paraId="5ECA532A"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200-250</w:t>
            </w:r>
          </w:p>
        </w:tc>
        <w:tc>
          <w:tcPr>
            <w:tcW w:w="980" w:type="dxa"/>
            <w:tcBorders>
              <w:top w:val="single" w:sz="8" w:space="0" w:color="auto"/>
              <w:left w:val="nil"/>
              <w:bottom w:val="single" w:sz="8" w:space="0" w:color="auto"/>
              <w:right w:val="nil"/>
            </w:tcBorders>
            <w:shd w:val="clear" w:color="auto" w:fill="auto"/>
            <w:noWrap/>
            <w:vAlign w:val="center"/>
            <w:hideMark/>
          </w:tcPr>
          <w:p w14:paraId="12E56041"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250-300</w:t>
            </w:r>
          </w:p>
        </w:tc>
        <w:tc>
          <w:tcPr>
            <w:tcW w:w="980" w:type="dxa"/>
            <w:tcBorders>
              <w:top w:val="single" w:sz="8" w:space="0" w:color="auto"/>
              <w:left w:val="nil"/>
              <w:bottom w:val="single" w:sz="8" w:space="0" w:color="auto"/>
              <w:right w:val="nil"/>
            </w:tcBorders>
            <w:shd w:val="clear" w:color="auto" w:fill="auto"/>
            <w:noWrap/>
            <w:vAlign w:val="center"/>
            <w:hideMark/>
          </w:tcPr>
          <w:p w14:paraId="04AA69F8"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300-400</w:t>
            </w:r>
          </w:p>
        </w:tc>
      </w:tr>
      <w:tr w:rsidR="00A46A62" w:rsidRPr="00A46A62" w14:paraId="240C30C5" w14:textId="77777777" w:rsidTr="00C6149C">
        <w:trPr>
          <w:trHeight w:val="315"/>
          <w:jc w:val="center"/>
        </w:trPr>
        <w:tc>
          <w:tcPr>
            <w:tcW w:w="3730" w:type="dxa"/>
            <w:tcBorders>
              <w:top w:val="nil"/>
              <w:left w:val="nil"/>
              <w:bottom w:val="single" w:sz="8" w:space="0" w:color="auto"/>
              <w:right w:val="nil"/>
            </w:tcBorders>
            <w:shd w:val="clear" w:color="auto" w:fill="auto"/>
            <w:noWrap/>
            <w:vAlign w:val="center"/>
            <w:hideMark/>
          </w:tcPr>
          <w:p w14:paraId="33E686A2" w14:textId="3BA0DEAA"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Available Min. radius of curvature</w:t>
            </w:r>
            <w:r w:rsidR="00C6149C">
              <w:rPr>
                <w:rFonts w:ascii="Times New Roman" w:eastAsia="Times New Roman" w:hAnsi="Times New Roman" w:cs="Times New Roman"/>
                <w:color w:val="000000"/>
                <w:sz w:val="22"/>
                <w:szCs w:val="22"/>
                <w14:textOutline w14:w="0" w14:cap="rnd" w14:cmpd="sng" w14:algn="ctr">
                  <w14:noFill/>
                  <w14:prstDash w14:val="solid"/>
                  <w14:bevel/>
                </w14:textOutline>
              </w:rPr>
              <w:t xml:space="preserve"> (</w:t>
            </w:r>
            <w:r w:rsidR="003D7BCB">
              <w:rPr>
                <w:rFonts w:ascii="Times New Roman" w:eastAsia="Times New Roman" w:hAnsi="Times New Roman" w:cs="Times New Roman"/>
                <w:color w:val="000000"/>
                <w:sz w:val="22"/>
                <w:szCs w:val="22"/>
                <w14:textOutline w14:w="0" w14:cap="rnd" w14:cmpd="sng" w14:algn="ctr">
                  <w14:noFill/>
                  <w14:prstDash w14:val="solid"/>
                  <w14:bevel/>
                </w14:textOutline>
              </w:rPr>
              <w:t>ft</w:t>
            </w:r>
            <w:r w:rsidR="00C6149C">
              <w:rPr>
                <w:rFonts w:ascii="Times New Roman" w:eastAsia="Times New Roman" w:hAnsi="Times New Roman" w:cs="Times New Roman"/>
                <w:color w:val="000000"/>
                <w:sz w:val="22"/>
                <w:szCs w:val="22"/>
                <w14:textOutline w14:w="0" w14:cap="rnd" w14:cmpd="sng" w14:algn="ctr">
                  <w14:noFill/>
                  <w14:prstDash w14:val="solid"/>
                  <w14:bevel/>
                </w14:textOutline>
              </w:rPr>
              <w:t>)</w:t>
            </w:r>
          </w:p>
        </w:tc>
        <w:tc>
          <w:tcPr>
            <w:tcW w:w="980" w:type="dxa"/>
            <w:tcBorders>
              <w:top w:val="nil"/>
              <w:left w:val="nil"/>
              <w:bottom w:val="single" w:sz="8" w:space="0" w:color="auto"/>
              <w:right w:val="nil"/>
            </w:tcBorders>
            <w:shd w:val="clear" w:color="auto" w:fill="auto"/>
            <w:noWrap/>
            <w:vAlign w:val="center"/>
            <w:hideMark/>
          </w:tcPr>
          <w:p w14:paraId="2DC7CC5F"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175</w:t>
            </w:r>
          </w:p>
        </w:tc>
        <w:tc>
          <w:tcPr>
            <w:tcW w:w="980" w:type="dxa"/>
            <w:tcBorders>
              <w:top w:val="nil"/>
              <w:left w:val="nil"/>
              <w:bottom w:val="single" w:sz="8" w:space="0" w:color="auto"/>
              <w:right w:val="nil"/>
            </w:tcBorders>
            <w:shd w:val="clear" w:color="auto" w:fill="auto"/>
            <w:noWrap/>
            <w:vAlign w:val="center"/>
            <w:hideMark/>
          </w:tcPr>
          <w:p w14:paraId="64F811FB"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280</w:t>
            </w:r>
          </w:p>
        </w:tc>
        <w:tc>
          <w:tcPr>
            <w:tcW w:w="980" w:type="dxa"/>
            <w:tcBorders>
              <w:top w:val="nil"/>
              <w:left w:val="nil"/>
              <w:bottom w:val="single" w:sz="8" w:space="0" w:color="auto"/>
              <w:right w:val="nil"/>
            </w:tcBorders>
            <w:shd w:val="clear" w:color="auto" w:fill="auto"/>
            <w:noWrap/>
            <w:vAlign w:val="center"/>
            <w:hideMark/>
          </w:tcPr>
          <w:p w14:paraId="1BD6B03D"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400</w:t>
            </w:r>
          </w:p>
        </w:tc>
        <w:tc>
          <w:tcPr>
            <w:tcW w:w="980" w:type="dxa"/>
            <w:tcBorders>
              <w:top w:val="nil"/>
              <w:left w:val="nil"/>
              <w:bottom w:val="single" w:sz="8" w:space="0" w:color="auto"/>
              <w:right w:val="nil"/>
            </w:tcBorders>
            <w:shd w:val="clear" w:color="auto" w:fill="auto"/>
            <w:noWrap/>
            <w:vAlign w:val="center"/>
            <w:hideMark/>
          </w:tcPr>
          <w:p w14:paraId="1633D6C6"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490</w:t>
            </w:r>
          </w:p>
        </w:tc>
        <w:tc>
          <w:tcPr>
            <w:tcW w:w="980" w:type="dxa"/>
            <w:tcBorders>
              <w:top w:val="nil"/>
              <w:left w:val="nil"/>
              <w:bottom w:val="single" w:sz="8" w:space="0" w:color="auto"/>
              <w:right w:val="nil"/>
            </w:tcBorders>
            <w:shd w:val="clear" w:color="auto" w:fill="auto"/>
            <w:noWrap/>
            <w:vAlign w:val="center"/>
            <w:hideMark/>
          </w:tcPr>
          <w:p w14:paraId="5DC32FC3"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774</w:t>
            </w:r>
          </w:p>
        </w:tc>
      </w:tr>
    </w:tbl>
    <w:p w14:paraId="3271261B" w14:textId="6C992B74" w:rsidR="00471119" w:rsidRPr="00E271E1" w:rsidRDefault="00471119" w:rsidP="00471119">
      <w:pPr>
        <w:rPr>
          <w:rFonts w:cstheme="majorBidi"/>
        </w:rPr>
      </w:pPr>
    </w:p>
    <w:p w14:paraId="5569A4F0" w14:textId="54152508" w:rsidR="00521E68" w:rsidRPr="00521E68" w:rsidRDefault="00163735" w:rsidP="00314FFC">
      <w:pPr>
        <w:pStyle w:val="Heading3"/>
      </w:pPr>
      <w:bookmarkStart w:id="30" w:name="_Toc7519838"/>
      <w:r>
        <w:t>Parameters to be Considered in G</w:t>
      </w:r>
      <w:r w:rsidR="00521E68" w:rsidRPr="00521E68">
        <w:t>rouping</w:t>
      </w:r>
      <w:bookmarkEnd w:id="30"/>
    </w:p>
    <w:p w14:paraId="388F5168" w14:textId="20DE2328" w:rsidR="006D7C00" w:rsidRDefault="00B86A75" w:rsidP="00DB1E32">
      <w:pPr>
        <w:spacing w:line="276" w:lineRule="auto"/>
        <w:jc w:val="both"/>
        <w:rPr>
          <w:rFonts w:cstheme="majorBidi"/>
        </w:rPr>
      </w:pPr>
      <w:r>
        <w:rPr>
          <w:rFonts w:cstheme="majorBidi"/>
        </w:rPr>
        <w:t>Based on analyzing Florida Bridge Inventory, it can be concluded that only number of span</w:t>
      </w:r>
      <w:r w:rsidR="00975173">
        <w:rPr>
          <w:rFonts w:cstheme="majorBidi"/>
        </w:rPr>
        <w:t>s</w:t>
      </w:r>
      <w:r>
        <w:rPr>
          <w:rFonts w:cstheme="majorBidi"/>
        </w:rPr>
        <w:t xml:space="preserve"> (single span or two continuous spans), maximum span length, radius of curvature and cross section are</w:t>
      </w:r>
      <w:r w:rsidR="00B64FAF">
        <w:rPr>
          <w:rFonts w:cstheme="majorBidi"/>
        </w:rPr>
        <w:t xml:space="preserve"> </w:t>
      </w:r>
      <w:r w:rsidR="00B62158">
        <w:rPr>
          <w:rFonts w:cstheme="majorBidi"/>
        </w:rPr>
        <w:t xml:space="preserve">the parameters with the highest impact and </w:t>
      </w:r>
      <w:r w:rsidR="00F24816">
        <w:rPr>
          <w:rFonts w:cstheme="majorBidi"/>
        </w:rPr>
        <w:t xml:space="preserve">will be </w:t>
      </w:r>
      <w:r w:rsidR="00B64FAF">
        <w:rPr>
          <w:rFonts w:cstheme="majorBidi"/>
        </w:rPr>
        <w:t>considered for</w:t>
      </w:r>
      <w:r>
        <w:rPr>
          <w:rFonts w:cstheme="majorBidi"/>
        </w:rPr>
        <w:t xml:space="preserve"> grouping criteria</w:t>
      </w:r>
      <w:r w:rsidR="00F24816">
        <w:rPr>
          <w:rFonts w:cstheme="majorBidi"/>
        </w:rPr>
        <w:t>.</w:t>
      </w:r>
      <w:r>
        <w:rPr>
          <w:rFonts w:cstheme="majorBidi"/>
        </w:rPr>
        <w:t xml:space="preserve"> </w:t>
      </w:r>
      <w:r w:rsidR="00F24816">
        <w:rPr>
          <w:rFonts w:cstheme="majorBidi"/>
        </w:rPr>
        <w:t>O</w:t>
      </w:r>
      <w:r>
        <w:rPr>
          <w:rFonts w:cstheme="majorBidi"/>
        </w:rPr>
        <w:t xml:space="preserve">ther parameters </w:t>
      </w:r>
      <w:r w:rsidR="00F24816">
        <w:rPr>
          <w:rFonts w:cstheme="majorBidi"/>
        </w:rPr>
        <w:t>will</w:t>
      </w:r>
      <w:r>
        <w:rPr>
          <w:rFonts w:cstheme="majorBidi"/>
        </w:rPr>
        <w:t xml:space="preserve"> be assumed constant for notional bridges.</w:t>
      </w:r>
      <w:r w:rsidR="00B64FAF">
        <w:rPr>
          <w:rFonts w:cstheme="majorBidi"/>
        </w:rPr>
        <w:t xml:space="preserve"> In this research, deck is assumed to </w:t>
      </w:r>
      <w:r w:rsidR="00975173">
        <w:rPr>
          <w:rFonts w:cstheme="majorBidi"/>
        </w:rPr>
        <w:t>have</w:t>
      </w:r>
      <w:r w:rsidR="00B64FAF">
        <w:rPr>
          <w:rFonts w:cstheme="majorBidi"/>
        </w:rPr>
        <w:t xml:space="preserve"> two lanes</w:t>
      </w:r>
      <w:r w:rsidR="00975173">
        <w:rPr>
          <w:rFonts w:cstheme="majorBidi"/>
        </w:rPr>
        <w:t>,</w:t>
      </w:r>
      <w:r w:rsidR="00B64FAF">
        <w:rPr>
          <w:rFonts w:cstheme="majorBidi"/>
        </w:rPr>
        <w:t xml:space="preserve"> </w:t>
      </w:r>
      <w:r w:rsidR="007A057A">
        <w:rPr>
          <w:rFonts w:cstheme="majorBidi"/>
        </w:rPr>
        <w:t>and</w:t>
      </w:r>
      <w:r>
        <w:rPr>
          <w:rFonts w:cstheme="majorBidi"/>
        </w:rPr>
        <w:t xml:space="preserve"> </w:t>
      </w:r>
      <w:r w:rsidR="00975173">
        <w:rPr>
          <w:rFonts w:cstheme="majorBidi"/>
        </w:rPr>
        <w:t xml:space="preserve">the </w:t>
      </w:r>
      <w:r>
        <w:rPr>
          <w:rFonts w:cstheme="majorBidi"/>
        </w:rPr>
        <w:t>width of</w:t>
      </w:r>
      <w:r w:rsidR="00B64FAF">
        <w:rPr>
          <w:rFonts w:cstheme="majorBidi"/>
        </w:rPr>
        <w:t xml:space="preserve"> </w:t>
      </w:r>
      <w:r>
        <w:rPr>
          <w:rFonts w:cstheme="majorBidi"/>
        </w:rPr>
        <w:t xml:space="preserve">deck is assumed to be </w:t>
      </w:r>
      <w:r w:rsidR="00140219">
        <w:rPr>
          <w:rFonts w:cstheme="majorBidi"/>
        </w:rPr>
        <w:t>a</w:t>
      </w:r>
      <w:r w:rsidR="00CF75C9">
        <w:rPr>
          <w:rFonts w:cstheme="majorBidi"/>
        </w:rPr>
        <w:t xml:space="preserve"> typical </w:t>
      </w:r>
      <w:r w:rsidR="009F3F51">
        <w:rPr>
          <w:rFonts w:cstheme="majorBidi"/>
        </w:rPr>
        <w:t xml:space="preserve">value most used </w:t>
      </w:r>
      <w:r>
        <w:rPr>
          <w:rFonts w:cstheme="majorBidi"/>
        </w:rPr>
        <w:t>within the inventory for 2</w:t>
      </w:r>
      <w:r w:rsidR="00975173">
        <w:rPr>
          <w:rFonts w:cstheme="majorBidi"/>
        </w:rPr>
        <w:t>-</w:t>
      </w:r>
      <w:r>
        <w:rPr>
          <w:rFonts w:cstheme="majorBidi"/>
        </w:rPr>
        <w:t>lane bridge</w:t>
      </w:r>
      <w:r w:rsidR="00B64FAF">
        <w:rPr>
          <w:rFonts w:cstheme="majorBidi"/>
        </w:rPr>
        <w:t>s</w:t>
      </w:r>
      <w:r w:rsidR="007A057A">
        <w:rPr>
          <w:rFonts w:cstheme="majorBidi"/>
        </w:rPr>
        <w:t>.</w:t>
      </w:r>
      <w:r w:rsidR="009F3F51">
        <w:rPr>
          <w:rFonts w:cstheme="majorBidi"/>
        </w:rPr>
        <w:t xml:space="preserve"> </w:t>
      </w:r>
      <w:r w:rsidR="00140219">
        <w:rPr>
          <w:rFonts w:cstheme="majorBidi"/>
        </w:rPr>
        <w:t xml:space="preserve">For this stage of investigation, skewness at supports will not be considered as one of the parameters, i.e., supports are assumed to be perpendicular to the longitudinal axis of the bridge. </w:t>
      </w:r>
    </w:p>
    <w:p w14:paraId="04F77ED1" w14:textId="77777777" w:rsidR="00D13D1A" w:rsidRPr="00E271E1" w:rsidRDefault="00D13D1A" w:rsidP="00DB1E32">
      <w:pPr>
        <w:spacing w:line="276" w:lineRule="auto"/>
        <w:jc w:val="both"/>
        <w:rPr>
          <w:rFonts w:cstheme="majorBidi"/>
        </w:rPr>
      </w:pPr>
    </w:p>
    <w:p w14:paraId="3168E43D" w14:textId="3E4E2627" w:rsidR="00AE3C64" w:rsidRDefault="00BD33EE" w:rsidP="00DB1E32">
      <w:pPr>
        <w:spacing w:line="276" w:lineRule="auto"/>
        <w:jc w:val="both"/>
        <w:rPr>
          <w:rFonts w:cstheme="majorBidi"/>
        </w:rPr>
      </w:pPr>
      <w:r w:rsidRPr="00BD33EE">
        <w:rPr>
          <w:rFonts w:cstheme="majorBidi"/>
        </w:rPr>
        <w:t xml:space="preserve">For the </w:t>
      </w:r>
      <w:r>
        <w:rPr>
          <w:rFonts w:cstheme="majorBidi"/>
        </w:rPr>
        <w:t>initial grouping</w:t>
      </w:r>
      <w:r w:rsidR="00955F29">
        <w:rPr>
          <w:rFonts w:cstheme="majorBidi"/>
        </w:rPr>
        <w:t>,</w:t>
      </w:r>
      <w:r>
        <w:rPr>
          <w:rFonts w:cstheme="majorBidi"/>
        </w:rPr>
        <w:t xml:space="preserve"> all bridges in the inventory </w:t>
      </w:r>
      <w:r w:rsidR="00955F29">
        <w:rPr>
          <w:rFonts w:cstheme="majorBidi"/>
        </w:rPr>
        <w:t>are</w:t>
      </w:r>
      <w:r>
        <w:rPr>
          <w:rFonts w:cstheme="majorBidi"/>
        </w:rPr>
        <w:t xml:space="preserve"> </w:t>
      </w:r>
      <w:r w:rsidR="00955F29">
        <w:rPr>
          <w:rFonts w:cstheme="majorBidi"/>
        </w:rPr>
        <w:t>divided into two main group</w:t>
      </w:r>
      <w:r w:rsidR="000A36E6">
        <w:rPr>
          <w:rFonts w:cstheme="majorBidi"/>
        </w:rPr>
        <w:t>s</w:t>
      </w:r>
      <w:r w:rsidR="00955F29">
        <w:rPr>
          <w:rFonts w:cstheme="majorBidi"/>
        </w:rPr>
        <w:t xml:space="preserve"> of s</w:t>
      </w:r>
      <w:r>
        <w:rPr>
          <w:rFonts w:cstheme="majorBidi"/>
        </w:rPr>
        <w:t>imple and two continuous span</w:t>
      </w:r>
      <w:r w:rsidR="00955F29">
        <w:rPr>
          <w:rFonts w:cstheme="majorBidi"/>
        </w:rPr>
        <w:t>s</w:t>
      </w:r>
      <w:r w:rsidR="007E7335">
        <w:rPr>
          <w:rFonts w:cstheme="majorBidi"/>
        </w:rPr>
        <w:t>.  In the latter case,</w:t>
      </w:r>
      <w:r w:rsidR="00955F29">
        <w:rPr>
          <w:rFonts w:cstheme="majorBidi"/>
        </w:rPr>
        <w:t xml:space="preserve"> </w:t>
      </w:r>
      <w:r w:rsidR="0099416A">
        <w:rPr>
          <w:rFonts w:cstheme="majorBidi"/>
        </w:rPr>
        <w:t>fractured girder in multi</w:t>
      </w:r>
      <w:r w:rsidR="00F24816">
        <w:rPr>
          <w:rFonts w:cstheme="majorBidi"/>
        </w:rPr>
        <w:t>-</w:t>
      </w:r>
      <w:r w:rsidR="0099416A">
        <w:rPr>
          <w:rFonts w:cstheme="majorBidi"/>
        </w:rPr>
        <w:t>span</w:t>
      </w:r>
      <w:r w:rsidR="00955F29">
        <w:rPr>
          <w:rFonts w:cstheme="majorBidi"/>
        </w:rPr>
        <w:t xml:space="preserve"> </w:t>
      </w:r>
      <w:r w:rsidR="0099416A">
        <w:rPr>
          <w:rFonts w:cstheme="majorBidi"/>
        </w:rPr>
        <w:t>bridge can still carry load as a cantilever beam</w:t>
      </w:r>
      <w:r w:rsidR="00F24816">
        <w:rPr>
          <w:rFonts w:cstheme="majorBidi"/>
        </w:rPr>
        <w:t xml:space="preserve"> from one side</w:t>
      </w:r>
      <w:r w:rsidR="0099416A">
        <w:rPr>
          <w:rFonts w:cstheme="majorBidi"/>
        </w:rPr>
        <w:t>, as a result the stiffness of these bridge a</w:t>
      </w:r>
      <w:r w:rsidR="0067386B">
        <w:rPr>
          <w:rFonts w:cstheme="majorBidi"/>
        </w:rPr>
        <w:t>ft</w:t>
      </w:r>
      <w:r w:rsidR="0099416A">
        <w:rPr>
          <w:rFonts w:cstheme="majorBidi"/>
        </w:rPr>
        <w:t xml:space="preserve">er fracture is higher than simple span bridges with the same </w:t>
      </w:r>
      <w:r w:rsidR="00D97232">
        <w:rPr>
          <w:rFonts w:cstheme="majorBidi"/>
        </w:rPr>
        <w:t>characteristics</w:t>
      </w:r>
      <w:r w:rsidR="007E7335">
        <w:rPr>
          <w:rFonts w:cstheme="majorBidi"/>
        </w:rPr>
        <w:t xml:space="preserve">.  Also, </w:t>
      </w:r>
      <w:r w:rsidR="00F24816">
        <w:rPr>
          <w:rFonts w:cstheme="majorBidi"/>
        </w:rPr>
        <w:t xml:space="preserve">a </w:t>
      </w:r>
      <w:r w:rsidR="00314FFC">
        <w:rPr>
          <w:rFonts w:cstheme="majorBidi"/>
        </w:rPr>
        <w:t xml:space="preserve">two </w:t>
      </w:r>
      <w:r w:rsidR="0099416A">
        <w:rPr>
          <w:rFonts w:cstheme="majorBidi"/>
        </w:rPr>
        <w:t>continuous</w:t>
      </w:r>
      <w:r w:rsidR="007E7335">
        <w:rPr>
          <w:rFonts w:cstheme="majorBidi"/>
        </w:rPr>
        <w:t>-</w:t>
      </w:r>
      <w:r w:rsidR="0099416A">
        <w:rPr>
          <w:rFonts w:cstheme="majorBidi"/>
        </w:rPr>
        <w:t>span</w:t>
      </w:r>
      <w:r w:rsidR="007E7335">
        <w:rPr>
          <w:rFonts w:cstheme="majorBidi"/>
        </w:rPr>
        <w:t xml:space="preserve"> bridge</w:t>
      </w:r>
      <w:r w:rsidR="0099416A">
        <w:rPr>
          <w:rFonts w:cstheme="majorBidi"/>
        </w:rPr>
        <w:t xml:space="preserve"> can represent </w:t>
      </w:r>
      <w:r w:rsidR="007E7335">
        <w:rPr>
          <w:rFonts w:cstheme="majorBidi"/>
        </w:rPr>
        <w:t xml:space="preserve">conservatively </w:t>
      </w:r>
      <w:r w:rsidR="0099416A">
        <w:rPr>
          <w:rFonts w:cstheme="majorBidi"/>
        </w:rPr>
        <w:t>all other multi</w:t>
      </w:r>
      <w:r w:rsidR="00F24816">
        <w:rPr>
          <w:rFonts w:cstheme="majorBidi"/>
        </w:rPr>
        <w:t>-</w:t>
      </w:r>
      <w:r w:rsidR="0099416A">
        <w:rPr>
          <w:rFonts w:cstheme="majorBidi"/>
        </w:rPr>
        <w:t>span</w:t>
      </w:r>
      <w:r w:rsidR="00F24816">
        <w:rPr>
          <w:rFonts w:cstheme="majorBidi"/>
        </w:rPr>
        <w:t xml:space="preserve"> bridges</w:t>
      </w:r>
      <w:r w:rsidR="0099416A">
        <w:rPr>
          <w:rFonts w:cstheme="majorBidi"/>
        </w:rPr>
        <w:t>. Each of th</w:t>
      </w:r>
      <w:r w:rsidR="00F24816">
        <w:rPr>
          <w:rFonts w:cstheme="majorBidi"/>
        </w:rPr>
        <w:t>ese</w:t>
      </w:r>
      <w:r w:rsidR="0099416A">
        <w:rPr>
          <w:rFonts w:cstheme="majorBidi"/>
        </w:rPr>
        <w:t xml:space="preserve"> two main groups can be </w:t>
      </w:r>
      <w:r w:rsidR="0099416A">
        <w:rPr>
          <w:rFonts w:cstheme="majorBidi"/>
        </w:rPr>
        <w:lastRenderedPageBreak/>
        <w:t>divided into 5 subgroups based on the ma</w:t>
      </w:r>
      <w:r w:rsidR="00613C1A">
        <w:rPr>
          <w:rFonts w:cstheme="majorBidi"/>
        </w:rPr>
        <w:t xml:space="preserve">ximum span </w:t>
      </w:r>
      <w:r w:rsidR="000A36E6">
        <w:rPr>
          <w:rFonts w:cstheme="majorBidi"/>
        </w:rPr>
        <w:t xml:space="preserve">length </w:t>
      </w:r>
      <w:r w:rsidR="00613C1A">
        <w:rPr>
          <w:rFonts w:cstheme="majorBidi"/>
        </w:rPr>
        <w:t xml:space="preserve">presented in </w:t>
      </w:r>
      <w:r w:rsidR="009F49E0">
        <w:rPr>
          <w:rFonts w:cstheme="majorBidi"/>
        </w:rPr>
        <w:fldChar w:fldCharType="begin"/>
      </w:r>
      <w:r w:rsidR="009F49E0">
        <w:rPr>
          <w:rFonts w:cstheme="majorBidi"/>
        </w:rPr>
        <w:instrText xml:space="preserve"> REF _Ref532812119 \h </w:instrText>
      </w:r>
      <w:r w:rsidR="00DB1E32">
        <w:rPr>
          <w:rFonts w:cstheme="majorBidi"/>
        </w:rPr>
        <w:instrText xml:space="preserve"> \* MERGEFORMAT </w:instrText>
      </w:r>
      <w:r w:rsidR="009F49E0">
        <w:rPr>
          <w:rFonts w:cstheme="majorBidi"/>
        </w:rPr>
      </w:r>
      <w:r w:rsidR="009F49E0">
        <w:rPr>
          <w:rFonts w:cstheme="majorBidi"/>
        </w:rPr>
        <w:fldChar w:fldCharType="separate"/>
      </w:r>
      <w:r w:rsidR="00BF057C">
        <w:t xml:space="preserve">Figure </w:t>
      </w:r>
      <w:r w:rsidR="00BF057C">
        <w:rPr>
          <w:noProof/>
        </w:rPr>
        <w:t>2</w:t>
      </w:r>
      <w:r w:rsidR="009F49E0">
        <w:rPr>
          <w:rFonts w:cstheme="majorBidi"/>
        </w:rPr>
        <w:fldChar w:fldCharType="end"/>
      </w:r>
      <w:r w:rsidR="001A1269">
        <w:rPr>
          <w:rFonts w:cstheme="majorBidi"/>
        </w:rPr>
        <w:t xml:space="preserve"> </w:t>
      </w:r>
      <w:r w:rsidR="00613C1A">
        <w:rPr>
          <w:rFonts w:cstheme="majorBidi"/>
        </w:rPr>
        <w:t xml:space="preserve">to form 10 main initial groups. </w:t>
      </w:r>
      <w:r w:rsidR="00387193">
        <w:rPr>
          <w:rFonts w:cstheme="majorBidi"/>
        </w:rPr>
        <w:t xml:space="preserve">Range of radius of curvature </w:t>
      </w:r>
      <w:r w:rsidR="007E7335">
        <w:rPr>
          <w:rFonts w:cstheme="majorBidi"/>
        </w:rPr>
        <w:t>for</w:t>
      </w:r>
      <w:r w:rsidR="00387193">
        <w:rPr>
          <w:rFonts w:cstheme="majorBidi"/>
        </w:rPr>
        <w:t xml:space="preserve"> each </w:t>
      </w:r>
      <w:r w:rsidR="00F24816">
        <w:rPr>
          <w:rFonts w:cstheme="majorBidi"/>
        </w:rPr>
        <w:t xml:space="preserve">span length </w:t>
      </w:r>
      <w:r w:rsidR="00387193">
        <w:rPr>
          <w:rFonts w:cstheme="majorBidi"/>
        </w:rPr>
        <w:t xml:space="preserve">group </w:t>
      </w:r>
      <w:r w:rsidR="00F24816">
        <w:rPr>
          <w:rFonts w:cstheme="majorBidi"/>
        </w:rPr>
        <w:t>can be</w:t>
      </w:r>
      <w:r w:rsidR="00387193">
        <w:rPr>
          <w:rFonts w:cstheme="majorBidi"/>
        </w:rPr>
        <w:t xml:space="preserve"> determined </w:t>
      </w:r>
      <w:r w:rsidR="00CD68BF">
        <w:rPr>
          <w:rFonts w:cstheme="majorBidi"/>
        </w:rPr>
        <w:t xml:space="preserve">according to </w:t>
      </w:r>
      <w:r w:rsidR="00387193">
        <w:rPr>
          <w:rFonts w:cstheme="majorBidi"/>
        </w:rPr>
        <w:t xml:space="preserve">available </w:t>
      </w:r>
      <w:r w:rsidR="00CD68BF">
        <w:rPr>
          <w:rFonts w:cstheme="majorBidi"/>
        </w:rPr>
        <w:t xml:space="preserve">radius of </w:t>
      </w:r>
      <w:r w:rsidR="00387193">
        <w:rPr>
          <w:rFonts w:cstheme="majorBidi"/>
        </w:rPr>
        <w:t xml:space="preserve">curvature in the inventory. </w:t>
      </w:r>
    </w:p>
    <w:p w14:paraId="612E481C" w14:textId="77777777" w:rsidR="00D13D1A" w:rsidRDefault="00D13D1A" w:rsidP="00DB1E32">
      <w:pPr>
        <w:spacing w:line="276" w:lineRule="auto"/>
        <w:jc w:val="both"/>
        <w:rPr>
          <w:rFonts w:cstheme="majorBidi"/>
        </w:rPr>
      </w:pPr>
    </w:p>
    <w:p w14:paraId="750F6CEE" w14:textId="687546EA" w:rsidR="00822E71" w:rsidRDefault="00594ABD" w:rsidP="00DB1E32">
      <w:pPr>
        <w:spacing w:line="276" w:lineRule="auto"/>
        <w:jc w:val="both"/>
        <w:rPr>
          <w:rFonts w:cstheme="majorBidi"/>
        </w:rPr>
      </w:pPr>
      <w:r>
        <w:rPr>
          <w:rFonts w:cstheme="majorBidi"/>
        </w:rPr>
        <w:t xml:space="preserve">Once geometric parameters of notional bridge for each group are determined, design details of a set of similar inventory bridges will be obtained from FDOT.  </w:t>
      </w:r>
      <w:r w:rsidR="001F2CB4">
        <w:rPr>
          <w:rFonts w:cstheme="majorBidi"/>
        </w:rPr>
        <w:t xml:space="preserve">The notional finite element model </w:t>
      </w:r>
      <w:r w:rsidR="007E7335">
        <w:rPr>
          <w:rFonts w:cstheme="majorBidi"/>
        </w:rPr>
        <w:t>for</w:t>
      </w:r>
      <w:r w:rsidR="001F2CB4">
        <w:rPr>
          <w:rFonts w:cstheme="majorBidi"/>
        </w:rPr>
        <w:t xml:space="preserve"> each group</w:t>
      </w:r>
      <w:r w:rsidR="00CC3355">
        <w:rPr>
          <w:rFonts w:cstheme="majorBidi"/>
        </w:rPr>
        <w:t xml:space="preserve"> </w:t>
      </w:r>
      <w:r w:rsidR="001F2CB4">
        <w:rPr>
          <w:rFonts w:cstheme="majorBidi"/>
        </w:rPr>
        <w:t xml:space="preserve">will </w:t>
      </w:r>
      <w:r>
        <w:rPr>
          <w:rFonts w:cstheme="majorBidi"/>
        </w:rPr>
        <w:t xml:space="preserve">then </w:t>
      </w:r>
      <w:r w:rsidR="001F2CB4">
        <w:rPr>
          <w:rFonts w:cstheme="majorBidi"/>
        </w:rPr>
        <w:t>be developed</w:t>
      </w:r>
      <w:r>
        <w:rPr>
          <w:rFonts w:cstheme="majorBidi"/>
        </w:rPr>
        <w:t xml:space="preserve"> based on these design details,</w:t>
      </w:r>
      <w:r w:rsidR="001F2CB4">
        <w:rPr>
          <w:rFonts w:cstheme="majorBidi"/>
        </w:rPr>
        <w:t xml:space="preserve"> and analyzed </w:t>
      </w:r>
      <w:r w:rsidR="00CC3355">
        <w:rPr>
          <w:rFonts w:cstheme="majorBidi"/>
        </w:rPr>
        <w:t>to evaluate t</w:t>
      </w:r>
      <w:r w:rsidR="001F2CB4">
        <w:rPr>
          <w:rFonts w:cstheme="majorBidi"/>
        </w:rPr>
        <w:t>he ultimate load carry</w:t>
      </w:r>
      <w:r w:rsidR="007E7335">
        <w:rPr>
          <w:rFonts w:cstheme="majorBidi"/>
        </w:rPr>
        <w:t>ing</w:t>
      </w:r>
      <w:r w:rsidR="001F2CB4">
        <w:rPr>
          <w:rFonts w:cstheme="majorBidi"/>
        </w:rPr>
        <w:t xml:space="preserve"> capacity,</w:t>
      </w:r>
      <w:r>
        <w:rPr>
          <w:rFonts w:cstheme="majorBidi"/>
        </w:rPr>
        <w:t xml:space="preserve"> and</w:t>
      </w:r>
      <w:r w:rsidR="001F2CB4">
        <w:rPr>
          <w:rFonts w:cstheme="majorBidi"/>
        </w:rPr>
        <w:t xml:space="preserve"> </w:t>
      </w:r>
      <w:r w:rsidR="00CC3355">
        <w:rPr>
          <w:rFonts w:cstheme="majorBidi"/>
        </w:rPr>
        <w:t>the maximum deflection</w:t>
      </w:r>
      <w:r w:rsidR="006D2E5E">
        <w:rPr>
          <w:rFonts w:cstheme="majorBidi"/>
        </w:rPr>
        <w:t xml:space="preserve"> to span length ratio</w:t>
      </w:r>
      <w:r>
        <w:rPr>
          <w:rFonts w:cstheme="majorBidi"/>
        </w:rPr>
        <w:t xml:space="preserve"> for the intact bridge</w:t>
      </w:r>
      <w:r w:rsidR="001F2CB4">
        <w:rPr>
          <w:rFonts w:cstheme="majorBidi"/>
        </w:rPr>
        <w:t xml:space="preserve">. </w:t>
      </w:r>
      <w:r>
        <w:rPr>
          <w:rFonts w:cstheme="majorBidi"/>
        </w:rPr>
        <w:t>The load carrying capacity and deflection</w:t>
      </w:r>
      <w:r w:rsidR="002D1C9F">
        <w:rPr>
          <w:rFonts w:cstheme="majorBidi"/>
        </w:rPr>
        <w:t xml:space="preserve"> will be </w:t>
      </w:r>
      <w:r w:rsidR="00F24816">
        <w:rPr>
          <w:rFonts w:cstheme="majorBidi"/>
        </w:rPr>
        <w:t>used to define</w:t>
      </w:r>
      <w:r w:rsidR="002D1C9F">
        <w:rPr>
          <w:rFonts w:cstheme="majorBidi"/>
        </w:rPr>
        <w:t xml:space="preserve"> the level of over or under capacity design as well as deflection to span ratio, and to assure that the cross-sections are true representation for bridge configuration. </w:t>
      </w:r>
    </w:p>
    <w:p w14:paraId="762E5BC4" w14:textId="77777777" w:rsidR="00D13D1A" w:rsidRDefault="00D13D1A" w:rsidP="00DB1E32">
      <w:pPr>
        <w:spacing w:line="276" w:lineRule="auto"/>
        <w:jc w:val="both"/>
        <w:rPr>
          <w:rFonts w:cstheme="majorBidi"/>
        </w:rPr>
      </w:pPr>
    </w:p>
    <w:p w14:paraId="0D40EC7D" w14:textId="0074F08F" w:rsidR="00FF58F7" w:rsidRDefault="00613C1A" w:rsidP="00DB1E32">
      <w:pPr>
        <w:spacing w:line="276" w:lineRule="auto"/>
        <w:jc w:val="both"/>
        <w:rPr>
          <w:rFonts w:cstheme="majorBidi"/>
        </w:rPr>
      </w:pPr>
      <w:r>
        <w:rPr>
          <w:rFonts w:cstheme="majorBidi"/>
        </w:rPr>
        <w:t xml:space="preserve">Finally, </w:t>
      </w:r>
      <w:r w:rsidR="00E47CE9">
        <w:rPr>
          <w:rFonts w:cstheme="majorBidi"/>
        </w:rPr>
        <w:t xml:space="preserve">the </w:t>
      </w:r>
      <w:r w:rsidR="00CD68BF">
        <w:rPr>
          <w:rFonts w:cstheme="majorBidi"/>
        </w:rPr>
        <w:t xml:space="preserve">notional </w:t>
      </w:r>
      <w:r w:rsidR="00387193">
        <w:rPr>
          <w:rFonts w:cstheme="majorBidi"/>
        </w:rPr>
        <w:t xml:space="preserve">finite element model </w:t>
      </w:r>
      <w:r w:rsidR="007E7335">
        <w:rPr>
          <w:rFonts w:cstheme="majorBidi"/>
        </w:rPr>
        <w:t>representing</w:t>
      </w:r>
      <w:r w:rsidR="00387193">
        <w:rPr>
          <w:rFonts w:cstheme="majorBidi"/>
        </w:rPr>
        <w:t xml:space="preserve"> </w:t>
      </w:r>
      <w:r w:rsidR="00CD68BF">
        <w:rPr>
          <w:rFonts w:cstheme="majorBidi"/>
        </w:rPr>
        <w:t xml:space="preserve">each </w:t>
      </w:r>
      <w:r w:rsidR="00E47CE9">
        <w:rPr>
          <w:rFonts w:cstheme="majorBidi"/>
        </w:rPr>
        <w:t xml:space="preserve">group </w:t>
      </w:r>
      <w:r w:rsidR="00CD68BF">
        <w:rPr>
          <w:rFonts w:cstheme="majorBidi"/>
        </w:rPr>
        <w:t>with</w:t>
      </w:r>
      <w:r w:rsidR="00FF58F7">
        <w:rPr>
          <w:rFonts w:cstheme="majorBidi"/>
        </w:rPr>
        <w:t xml:space="preserve"> </w:t>
      </w:r>
      <w:r w:rsidR="00F24816">
        <w:rPr>
          <w:rFonts w:cstheme="majorBidi"/>
        </w:rPr>
        <w:t xml:space="preserve">the minimum available radius of </w:t>
      </w:r>
      <w:r w:rsidR="009F49E0">
        <w:rPr>
          <w:rFonts w:cstheme="majorBidi"/>
        </w:rPr>
        <w:t>curvature for that group</w:t>
      </w:r>
      <w:r w:rsidR="00CD68BF">
        <w:rPr>
          <w:rFonts w:cstheme="majorBidi"/>
        </w:rPr>
        <w:t xml:space="preserve"> will be developed </w:t>
      </w:r>
      <w:r w:rsidR="002D1C9F">
        <w:rPr>
          <w:rFonts w:cstheme="majorBidi"/>
        </w:rPr>
        <w:t>for fractured girder condition</w:t>
      </w:r>
      <w:r w:rsidR="00DD7183">
        <w:rPr>
          <w:rFonts w:cstheme="majorBidi"/>
        </w:rPr>
        <w:t xml:space="preserve">.  The models will be </w:t>
      </w:r>
      <w:r w:rsidR="00CD68BF">
        <w:rPr>
          <w:rFonts w:cstheme="majorBidi"/>
        </w:rPr>
        <w:t>analyzed</w:t>
      </w:r>
      <w:r w:rsidR="00DD7183">
        <w:rPr>
          <w:rFonts w:cstheme="majorBidi"/>
        </w:rPr>
        <w:t xml:space="preserve"> under the loading condition obtained from reliability analysis (to be conducted later in this study)</w:t>
      </w:r>
      <w:r w:rsidR="00CD68BF">
        <w:rPr>
          <w:rFonts w:cstheme="majorBidi"/>
        </w:rPr>
        <w:t xml:space="preserve">. The results will be compared </w:t>
      </w:r>
      <w:r w:rsidR="00DD7183">
        <w:rPr>
          <w:rFonts w:cstheme="majorBidi"/>
        </w:rPr>
        <w:t>to</w:t>
      </w:r>
      <w:r w:rsidR="00CD68BF">
        <w:rPr>
          <w:rFonts w:cstheme="majorBidi"/>
        </w:rPr>
        <w:t xml:space="preserve"> </w:t>
      </w:r>
      <w:r w:rsidR="00E47CE9">
        <w:rPr>
          <w:rFonts w:cstheme="majorBidi"/>
        </w:rPr>
        <w:t xml:space="preserve">the </w:t>
      </w:r>
      <w:r>
        <w:rPr>
          <w:rFonts w:cstheme="majorBidi"/>
        </w:rPr>
        <w:t xml:space="preserve">redundancy criteria (Ultimate limit state and </w:t>
      </w:r>
      <w:r w:rsidR="007E7335">
        <w:rPr>
          <w:rFonts w:cstheme="majorBidi"/>
        </w:rPr>
        <w:t xml:space="preserve">serviceability </w:t>
      </w:r>
      <w:r>
        <w:rPr>
          <w:rFonts w:cstheme="majorBidi"/>
        </w:rPr>
        <w:t>limit state</w:t>
      </w:r>
      <w:r w:rsidR="00DD7183">
        <w:rPr>
          <w:rFonts w:cstheme="majorBidi"/>
        </w:rPr>
        <w:t>s to be determined later in this study</w:t>
      </w:r>
      <w:r>
        <w:rPr>
          <w:rFonts w:cstheme="majorBidi"/>
        </w:rPr>
        <w:t>)</w:t>
      </w:r>
      <w:r w:rsidR="00CD68BF">
        <w:rPr>
          <w:rFonts w:cstheme="majorBidi"/>
        </w:rPr>
        <w:t xml:space="preserve"> to </w:t>
      </w:r>
      <w:r w:rsidR="00E47CE9">
        <w:rPr>
          <w:rFonts w:cstheme="majorBidi"/>
        </w:rPr>
        <w:t xml:space="preserve">find </w:t>
      </w:r>
      <w:r w:rsidR="00DD7183">
        <w:rPr>
          <w:rFonts w:cstheme="majorBidi"/>
        </w:rPr>
        <w:t xml:space="preserve">if a notional bridge with </w:t>
      </w:r>
      <w:r w:rsidR="00E47CE9">
        <w:rPr>
          <w:rFonts w:cstheme="majorBidi"/>
        </w:rPr>
        <w:t>the</w:t>
      </w:r>
      <w:r w:rsidR="00387193">
        <w:rPr>
          <w:rFonts w:cstheme="majorBidi"/>
        </w:rPr>
        <w:t xml:space="preserve"> minimu</w:t>
      </w:r>
      <w:r w:rsidR="009F49E0">
        <w:rPr>
          <w:rFonts w:cstheme="majorBidi"/>
        </w:rPr>
        <w:t>m allowable radius of curvature</w:t>
      </w:r>
      <w:r w:rsidR="00387193">
        <w:rPr>
          <w:rFonts w:cstheme="majorBidi"/>
        </w:rPr>
        <w:t xml:space="preserve"> will</w:t>
      </w:r>
      <w:r w:rsidR="00E47CE9">
        <w:rPr>
          <w:rFonts w:cstheme="majorBidi"/>
        </w:rPr>
        <w:t xml:space="preserve"> meet the redundancy criteria.</w:t>
      </w:r>
      <w:r w:rsidR="00FF58F7" w:rsidRPr="00FF58F7">
        <w:rPr>
          <w:rFonts w:cstheme="majorBidi"/>
        </w:rPr>
        <w:t xml:space="preserve"> </w:t>
      </w:r>
      <w:r w:rsidR="00DD7183">
        <w:rPr>
          <w:rFonts w:cstheme="majorBidi"/>
        </w:rPr>
        <w:t xml:space="preserve">If the notional bridge representing on group with the minimum radius of curvature satisfies the redundancy criteria, then all bridges in that group will be identified as redundant.  Otherwise, the radius of curvature will be increased incrementally until the redundancy criteria are met.  Accordingly, the referenced bridge group can be divided into subgroups based on radius of curvature that would satisfy the </w:t>
      </w:r>
      <w:r w:rsidR="009F49E0">
        <w:rPr>
          <w:rFonts w:cstheme="majorBidi"/>
        </w:rPr>
        <w:t>redundancy</w:t>
      </w:r>
      <w:r w:rsidR="00DD7183">
        <w:rPr>
          <w:rFonts w:cstheme="majorBidi"/>
        </w:rPr>
        <w:t xml:space="preserve"> criteria. </w:t>
      </w:r>
      <w:r w:rsidR="00FF58F7">
        <w:rPr>
          <w:rFonts w:cstheme="majorBidi"/>
        </w:rPr>
        <w:t xml:space="preserve">Since the groups cover wide ranges of span length with different radius of curvature, </w:t>
      </w:r>
      <w:r w:rsidR="007E7335">
        <w:rPr>
          <w:rFonts w:cstheme="majorBidi"/>
        </w:rPr>
        <w:t>it is likely that</w:t>
      </w:r>
      <w:r w:rsidR="00FF58F7">
        <w:rPr>
          <w:rFonts w:cstheme="majorBidi"/>
        </w:rPr>
        <w:t xml:space="preserve"> some groups with large span will not meet the redundancy criteria even for a straight bridge.</w:t>
      </w:r>
      <w:r w:rsidR="002F1CED">
        <w:rPr>
          <w:rFonts w:cstheme="majorBidi"/>
        </w:rPr>
        <w:t xml:space="preserve"> </w:t>
      </w:r>
      <w:r w:rsidR="007E7335">
        <w:rPr>
          <w:rFonts w:cstheme="majorBidi"/>
        </w:rPr>
        <w:t>For such cases</w:t>
      </w:r>
      <w:r w:rsidR="002F1CED">
        <w:rPr>
          <w:rFonts w:cstheme="majorBidi"/>
        </w:rPr>
        <w:t xml:space="preserve">, the bridge </w:t>
      </w:r>
      <w:r w:rsidR="000B4F34">
        <w:rPr>
          <w:rFonts w:cstheme="majorBidi"/>
        </w:rPr>
        <w:t xml:space="preserve">group </w:t>
      </w:r>
      <w:r w:rsidR="002F1CED">
        <w:rPr>
          <w:rFonts w:cstheme="majorBidi"/>
        </w:rPr>
        <w:t xml:space="preserve">can </w:t>
      </w:r>
      <w:r w:rsidR="007E7335">
        <w:rPr>
          <w:rFonts w:cstheme="majorBidi"/>
        </w:rPr>
        <w:t xml:space="preserve">then </w:t>
      </w:r>
      <w:r w:rsidR="002F1CED">
        <w:rPr>
          <w:rFonts w:cstheme="majorBidi"/>
        </w:rPr>
        <w:t xml:space="preserve">be divided into </w:t>
      </w:r>
      <w:r w:rsidR="00DD7183">
        <w:rPr>
          <w:rFonts w:cstheme="majorBidi"/>
        </w:rPr>
        <w:t xml:space="preserve">subgroups with varying span length in each group to determine </w:t>
      </w:r>
      <w:r w:rsidR="002F1CED">
        <w:rPr>
          <w:rFonts w:cstheme="majorBidi"/>
        </w:rPr>
        <w:t>redundant and non-redundant</w:t>
      </w:r>
      <w:r w:rsidR="00DD7183">
        <w:rPr>
          <w:rFonts w:cstheme="majorBidi"/>
        </w:rPr>
        <w:t xml:space="preserve"> subgroups</w:t>
      </w:r>
      <w:r w:rsidR="002F1CED">
        <w:rPr>
          <w:rFonts w:cstheme="majorBidi"/>
        </w:rPr>
        <w:t xml:space="preserve"> based on their </w:t>
      </w:r>
      <w:r w:rsidR="00DD7183">
        <w:rPr>
          <w:rFonts w:cstheme="majorBidi"/>
        </w:rPr>
        <w:t>span length</w:t>
      </w:r>
      <w:r w:rsidR="002F1CED">
        <w:rPr>
          <w:rFonts w:cstheme="majorBidi"/>
        </w:rPr>
        <w:t xml:space="preserve">. </w:t>
      </w:r>
      <w:r w:rsidR="00E653A8">
        <w:rPr>
          <w:rFonts w:cstheme="majorBidi"/>
        </w:rPr>
        <w:fldChar w:fldCharType="begin"/>
      </w:r>
      <w:r w:rsidR="00E653A8">
        <w:rPr>
          <w:rFonts w:cstheme="majorBidi"/>
        </w:rPr>
        <w:instrText xml:space="preserve"> REF _Ref531349392 \h  \* MERGEFORMAT </w:instrText>
      </w:r>
      <w:r w:rsidR="00E653A8">
        <w:rPr>
          <w:rFonts w:cstheme="majorBidi"/>
        </w:rPr>
      </w:r>
      <w:r w:rsidR="00E653A8">
        <w:rPr>
          <w:rFonts w:cstheme="majorBidi"/>
        </w:rPr>
        <w:fldChar w:fldCharType="separate"/>
      </w:r>
      <w:r w:rsidR="00BF057C" w:rsidRPr="00BF057C">
        <w:rPr>
          <w:rFonts w:cstheme="majorBidi"/>
        </w:rPr>
        <w:t>Figure 7</w:t>
      </w:r>
      <w:r w:rsidR="00E653A8">
        <w:rPr>
          <w:rFonts w:cstheme="majorBidi"/>
        </w:rPr>
        <w:fldChar w:fldCharType="end"/>
      </w:r>
      <w:r w:rsidR="00E653A8">
        <w:rPr>
          <w:rFonts w:cstheme="majorBidi"/>
        </w:rPr>
        <w:t xml:space="preserve"> </w:t>
      </w:r>
      <w:r w:rsidR="002F1CED">
        <w:rPr>
          <w:rFonts w:cstheme="majorBidi"/>
        </w:rPr>
        <w:t xml:space="preserve">presents the initial </w:t>
      </w:r>
      <w:r w:rsidR="00DD7183">
        <w:rPr>
          <w:rFonts w:cstheme="majorBidi"/>
        </w:rPr>
        <w:t xml:space="preserve">grouping for </w:t>
      </w:r>
      <w:r w:rsidR="002F1CED">
        <w:rPr>
          <w:rFonts w:cstheme="majorBidi"/>
        </w:rPr>
        <w:t xml:space="preserve">notional </w:t>
      </w:r>
      <w:r w:rsidR="00DD7183">
        <w:rPr>
          <w:rFonts w:cstheme="majorBidi"/>
        </w:rPr>
        <w:t>bridge concept</w:t>
      </w:r>
      <w:r w:rsidR="002F1CED">
        <w:rPr>
          <w:rFonts w:cstheme="majorBidi"/>
        </w:rPr>
        <w:t xml:space="preserve"> </w:t>
      </w:r>
      <w:r w:rsidR="00DD7183">
        <w:rPr>
          <w:rFonts w:cstheme="majorBidi"/>
        </w:rPr>
        <w:t>to be considered in</w:t>
      </w:r>
      <w:r w:rsidR="002F1CED">
        <w:rPr>
          <w:rFonts w:cstheme="majorBidi"/>
        </w:rPr>
        <w:t xml:space="preserve"> the redundancy analysis.</w:t>
      </w:r>
    </w:p>
    <w:p w14:paraId="4A128BD9" w14:textId="2C6033E6" w:rsidR="0099416A" w:rsidRDefault="0099416A" w:rsidP="0052517A">
      <w:pPr>
        <w:jc w:val="both"/>
        <w:rPr>
          <w:rFonts w:cstheme="majorBidi"/>
        </w:rPr>
      </w:pPr>
    </w:p>
    <w:p w14:paraId="67BCF641" w14:textId="57401CF0" w:rsidR="00560669" w:rsidRDefault="00560669" w:rsidP="00560669">
      <w:pPr>
        <w:spacing w:line="276" w:lineRule="auto"/>
        <w:jc w:val="both"/>
        <w:rPr>
          <w:rFonts w:cstheme="majorBidi"/>
          <w:lang w:bidi="fa-IR"/>
        </w:rPr>
      </w:pPr>
    </w:p>
    <w:p w14:paraId="37B98543" w14:textId="77777777" w:rsidR="0018621D" w:rsidRDefault="00560669">
      <w:pPr>
        <w:keepNext/>
        <w:spacing w:line="276" w:lineRule="auto"/>
        <w:jc w:val="both"/>
      </w:pPr>
      <w:r>
        <w:rPr>
          <w:rFonts w:cstheme="majorBidi"/>
          <w:noProof/>
          <w14:textOutline w14:w="0" w14:cap="rnd" w14:cmpd="sng" w14:algn="ctr">
            <w14:noFill/>
            <w14:prstDash w14:val="solid"/>
            <w14:bevel/>
          </w14:textOutline>
        </w:rPr>
        <w:lastRenderedPageBreak/>
        <w:drawing>
          <wp:inline distT="0" distB="0" distL="0" distR="0" wp14:anchorId="04E8B9F1" wp14:editId="4109B550">
            <wp:extent cx="5613621" cy="5797550"/>
            <wp:effectExtent l="0" t="0" r="25400" b="127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F80B2BE" w14:textId="2DB9A8D2" w:rsidR="00FF58F7" w:rsidRDefault="0018621D" w:rsidP="009F49E0">
      <w:pPr>
        <w:pStyle w:val="Caption"/>
        <w:jc w:val="center"/>
      </w:pPr>
      <w:bookmarkStart w:id="31" w:name="_Ref531349392"/>
      <w:bookmarkStart w:id="32" w:name="_Toc532816248"/>
      <w:bookmarkStart w:id="33" w:name="_Toc7519888"/>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7</w:t>
      </w:r>
      <w:r w:rsidR="007B70FA">
        <w:rPr>
          <w:noProof/>
        </w:rPr>
        <w:fldChar w:fldCharType="end"/>
      </w:r>
      <w:bookmarkEnd w:id="31"/>
      <w:r w:rsidR="00731DBA">
        <w:t>. Initial notional b</w:t>
      </w:r>
      <w:r>
        <w:t>ridges</w:t>
      </w:r>
      <w:bookmarkEnd w:id="32"/>
      <w:bookmarkEnd w:id="33"/>
    </w:p>
    <w:p w14:paraId="3EEC7217" w14:textId="77777777" w:rsidR="00E47CE9" w:rsidRPr="00BD33EE" w:rsidRDefault="00E47CE9" w:rsidP="00560669">
      <w:pPr>
        <w:spacing w:line="276" w:lineRule="auto"/>
        <w:jc w:val="both"/>
        <w:rPr>
          <w:rFonts w:cstheme="majorBidi"/>
          <w:lang w:bidi="fa-IR"/>
        </w:rPr>
      </w:pPr>
    </w:p>
    <w:p w14:paraId="04F24A57" w14:textId="77777777" w:rsidR="00A57411" w:rsidRPr="00E271E1" w:rsidRDefault="00A57411" w:rsidP="00623DB9">
      <w:pPr>
        <w:spacing w:line="276" w:lineRule="auto"/>
        <w:rPr>
          <w:rFonts w:cstheme="majorBidi"/>
        </w:rPr>
      </w:pPr>
    </w:p>
    <w:p w14:paraId="79859A5A" w14:textId="452051C2" w:rsidR="007457BD" w:rsidRPr="00E271E1" w:rsidRDefault="00C92396" w:rsidP="009F49E0">
      <w:pPr>
        <w:pStyle w:val="Heading1"/>
      </w:pPr>
      <w:bookmarkStart w:id="34" w:name="_Toc7519839"/>
      <w:r w:rsidRPr="00E271E1">
        <w:t xml:space="preserve">Development of </w:t>
      </w:r>
      <w:r w:rsidR="00FC56EA">
        <w:t xml:space="preserve">Loading and </w:t>
      </w:r>
      <w:r w:rsidRPr="00E271E1">
        <w:t>Crit</w:t>
      </w:r>
      <w:r w:rsidR="007457BD" w:rsidRPr="00E271E1">
        <w:t xml:space="preserve">eria for Redundancy </w:t>
      </w:r>
      <w:r w:rsidR="00FC56EA">
        <w:t>VErification</w:t>
      </w:r>
      <w:bookmarkEnd w:id="34"/>
      <w:r w:rsidRPr="00E271E1">
        <w:t xml:space="preserve"> </w:t>
      </w:r>
    </w:p>
    <w:p w14:paraId="76C763A3" w14:textId="3698BBBE" w:rsidR="007C4397" w:rsidRPr="00E271E1" w:rsidRDefault="00C6077A" w:rsidP="00860308">
      <w:pPr>
        <w:spacing w:line="276" w:lineRule="auto"/>
        <w:jc w:val="both"/>
        <w:rPr>
          <w:rFonts w:cstheme="majorBidi"/>
        </w:rPr>
      </w:pPr>
      <w:r>
        <w:rPr>
          <w:rFonts w:cstheme="majorBidi"/>
        </w:rPr>
        <w:t>Some p</w:t>
      </w:r>
      <w:r w:rsidR="00CA29BA" w:rsidRPr="00E271E1">
        <w:rPr>
          <w:rFonts w:cstheme="majorBidi"/>
        </w:rPr>
        <w:t>revious</w:t>
      </w:r>
      <w:r w:rsidR="00C92396" w:rsidRPr="00E271E1">
        <w:rPr>
          <w:rFonts w:cstheme="majorBidi"/>
        </w:rPr>
        <w:t xml:space="preserve"> studies have investigated the redundancy of steel girder bridges using </w:t>
      </w:r>
      <w:r w:rsidR="007457BD" w:rsidRPr="00E271E1">
        <w:rPr>
          <w:rFonts w:cstheme="majorBidi"/>
        </w:rPr>
        <w:t xml:space="preserve">more or less </w:t>
      </w:r>
      <w:r w:rsidR="00C92396" w:rsidRPr="00E271E1">
        <w:rPr>
          <w:rFonts w:cstheme="majorBidi"/>
        </w:rPr>
        <w:t>an arbitrary load level</w:t>
      </w:r>
      <w:r w:rsidR="00FC6ADC">
        <w:rPr>
          <w:rStyle w:val="FootnoteReference"/>
          <w:rFonts w:cstheme="majorBidi"/>
        </w:rPr>
        <w:fldChar w:fldCharType="begin" w:fldLock="1"/>
      </w:r>
      <w:r w:rsidR="00860308">
        <w:rPr>
          <w:rFonts w:cstheme="majorBidi"/>
        </w:rPr>
        <w:instrText>ADDIN CSL_CITATION {"citationItems":[{"id":"ITEM-1","itemData":{"author":[{"dropping-particle":"","family":"Hovell","given":"Catherine Grace","non-dropping-particle":"","parse-names":false,"suffix":""}],"id":"ITEM-1","issued":{"date-parts":[["2007"]]},"title":"Evaluation of redundancy in trapezoidal box-girder bridges using finite element analysis","type":"article"},"uris":["http://www.mendeley.com/documents/?uuid=0d3fabb3-2956-407a-a284-ca809631019f"]},{"id":"ITEM-2","itemData":{"author":[{"dropping-particle":"","family":"Williamson","given":"Eric B","non-dropping-particle":"","parse-names":false,"suffix":""},{"dropping-particle":"","family":"Kim","given":"Janghwan","non-dropping-particle":"","parse-names":false,"suffix":""},{"dropping-particle":"","family":"Frank","given":"Karl H","non-dropping-particle":"","parse-names":false,"suffix":""}],"container-title":"Structures Congress 2010","id":"ITEM-2","issued":{"date-parts":[["2010"]]},"page":"2793-2802","title":"Redundancy evaluation of twin steel box-girder bridges using finite element analyses","type":"paper-conference"},"uris":["http://www.mendeley.com/documents/?uuid=258dca27-5836-46cf-8cf9-68a0980b153a"]},{"id":"ITEM-3","itemData":{"ISSN":"0963-8695","author":[{"dropping-particle":"","family":"Idriss","given":"R L","non-dropping-particle":"","parse-names":false,"suffix":""},{"dropping-particle":"","family":"White","given":"K R","non-dropping-particle":"","parse-names":false,"suffix":""},{"dropping-particle":"","family":"Woodward","given":"C B","non-dropping-particle":"","parse-names":false,"suffix":""},{"dropping-particle":"V","family":"Jauregui","given":"D","non-dropping-particle":"","parse-names":false,"suffix":""}],"container-title":"NDT &amp; E International","id":"ITEM-3","issue":"6","issued":{"date-parts":[["1995"]]},"page":"339-347","publisher":"Elsevier","title":"Evaluation and testing of a fracture critical bridge","type":"article-journal","volume":"28"},"uris":["http://www.mendeley.com/documents/?uuid=27c6e1e9-3966-4def-b433-43141a87c33b"]},{"id":"ITEM-4","itemData":{"author":[{"dropping-particle":"","family":"Daniels","given":"J Hartley","non-dropping-particle":"","parse-names":false,"suffix":""},{"dropping-particle":"","family":"Kim","given":"Wonki","non-dropping-particle":"","parse-names":false,"suffix":""},{"dropping-particle":"","family":"Wilson","given":"John L","non-dropping-particle":"","parse-names":false,"suffix":""}],"id":"ITEM-4","issued":{"date-parts":[["1988"]]},"title":"Guidelines for redundancy design and rating of two-girder steel bridges, Final Report, November 1988, 365p.","type":"article-journal"},"uris":["http://www.mendeley.com/documents/?uuid=3f44ab96-a73f-4c2a-9b1b-c9359b1c4ac8"]},{"id":"ITEM-5","itemData":{"author":[{"dropping-particle":"","family":"Hebdon","given":"Matthew H","non-dropping-particle":"","parse-names":false,"suffix":""},{"dropping-particle":"","family":"Singh","given":"Japsimran","non-dropping-particle":"","parse-names":false,"suffix":""},{"dropping-particle":"","family":"Connor","given":"Robert J","non-dropping-particle":"","parse-names":false,"suffix":""}],"container-title":"Structures Congress 2017","id":"ITEM-5","issued":{"date-parts":[["2017"]]},"page":"162-174","title":"Redundancy and Fracture Resilience of Built-Up Steel Girders","type":"paper-conference"},"uris":["http://www.mendeley.com/documents/?uuid=9d79baeb-3f2f-4cec-b188-2ca17eda59ff"]}],"mendeley":{"formattedCitation":"(Daniels et al. 1988; Hebdon et al. 2017; Hovell 2007; Idriss et al. 1995; Williamson et al. 2010)","plainTextFormattedCitation":"(Daniels et al. 1988; Hebdon et al. 2017; Hovell 2007; Idriss et al. 1995; Williamson et al. 2010)","previouslyFormattedCitation":"(Daniels, Kim and Wilson, 1988; Idriss &lt;i&gt;et al.&lt;/i&gt;, 1995; Hovell, 2007; Williamson, Kim and Frank, 2010; Hebdon, Singh and Connor, 2017)"},"properties":{"noteIndex":0},"schema":"https://github.com/citation-style-language/schema/raw/master/csl-citation.json"}</w:instrText>
      </w:r>
      <w:r w:rsidR="00FC6ADC">
        <w:rPr>
          <w:rStyle w:val="FootnoteReference"/>
          <w:rFonts w:cstheme="majorBidi"/>
        </w:rPr>
        <w:fldChar w:fldCharType="separate"/>
      </w:r>
      <w:r w:rsidR="00860308" w:rsidRPr="00860308">
        <w:rPr>
          <w:rFonts w:cstheme="majorBidi"/>
          <w:bCs/>
          <w:noProof/>
        </w:rPr>
        <w:t>(Daniels et al. 1988; Hebdon et al. 2017; Hovell 2007; Idriss et al. 1995; Williamson et al. 2010)</w:t>
      </w:r>
      <w:r w:rsidR="00FC6ADC">
        <w:rPr>
          <w:rStyle w:val="FootnoteReference"/>
          <w:rFonts w:cstheme="majorBidi"/>
        </w:rPr>
        <w:fldChar w:fldCharType="end"/>
      </w:r>
      <w:r w:rsidR="00C92396" w:rsidRPr="00E271E1">
        <w:rPr>
          <w:rFonts w:cstheme="majorBidi"/>
        </w:rPr>
        <w:t xml:space="preserve">. Arbitrarily selecting the load level that the damaged two steel box girder bridges should be able to carry has been frequently questioned. Therefore, there is a need to </w:t>
      </w:r>
      <w:r w:rsidR="00C92396" w:rsidRPr="00E271E1">
        <w:rPr>
          <w:rFonts w:cstheme="majorBidi"/>
        </w:rPr>
        <w:lastRenderedPageBreak/>
        <w:t>develop more rational approaches to establish the load level and application method that the damaged bridge should carry for proper evaluation. Further there may also be a need to develop additional performance criteria, such as deflection limits for damaged bridges. The concept of damaged two steel box girder bridges being able to deflect without collapse is a desirable mode of behavior, since it wil</w:t>
      </w:r>
      <w:r w:rsidR="007457BD" w:rsidRPr="00E271E1">
        <w:rPr>
          <w:rFonts w:cstheme="majorBidi"/>
        </w:rPr>
        <w:t xml:space="preserve">l be detectable. This task </w:t>
      </w:r>
      <w:r>
        <w:rPr>
          <w:rFonts w:cstheme="majorBidi"/>
        </w:rPr>
        <w:t xml:space="preserve">may </w:t>
      </w:r>
      <w:r w:rsidR="00C92396" w:rsidRPr="00E271E1">
        <w:rPr>
          <w:rFonts w:cstheme="majorBidi"/>
        </w:rPr>
        <w:t>involve establishing the target safety level or reliability index. T</w:t>
      </w:r>
      <w:r w:rsidR="007457BD" w:rsidRPr="00E271E1">
        <w:rPr>
          <w:rFonts w:cstheme="majorBidi"/>
        </w:rPr>
        <w:t>wo approaches may be considered to establish t</w:t>
      </w:r>
      <w:r w:rsidR="00C92396" w:rsidRPr="00E271E1">
        <w:rPr>
          <w:rFonts w:cstheme="majorBidi"/>
        </w:rPr>
        <w:t>he ta</w:t>
      </w:r>
      <w:r w:rsidR="007457BD" w:rsidRPr="00E271E1">
        <w:rPr>
          <w:rFonts w:cstheme="majorBidi"/>
        </w:rPr>
        <w:t>rget reliability level</w:t>
      </w:r>
      <w:r w:rsidR="00C92396" w:rsidRPr="00E271E1">
        <w:rPr>
          <w:rFonts w:cstheme="majorBidi"/>
        </w:rPr>
        <w:t>.  One approach will consist of seeking the bridge owners input on an appropriate safety level. The other approach will be to establish the safety level i</w:t>
      </w:r>
      <w:r>
        <w:rPr>
          <w:rFonts w:cstheme="majorBidi"/>
        </w:rPr>
        <w:t>n</w:t>
      </w:r>
      <w:r w:rsidR="00C92396" w:rsidRPr="00E271E1">
        <w:rPr>
          <w:rFonts w:cstheme="majorBidi"/>
        </w:rPr>
        <w:t>herent in redundant bridges</w:t>
      </w:r>
      <w:r w:rsidR="007C4397" w:rsidRPr="00E271E1">
        <w:rPr>
          <w:rFonts w:cstheme="majorBidi"/>
        </w:rPr>
        <w:t xml:space="preserve">. </w:t>
      </w:r>
    </w:p>
    <w:p w14:paraId="2099F2D1" w14:textId="0D27E884" w:rsidR="008A65FA" w:rsidRPr="00E271E1" w:rsidRDefault="008A65FA" w:rsidP="00DB1E32">
      <w:pPr>
        <w:spacing w:line="276" w:lineRule="auto"/>
        <w:rPr>
          <w:rFonts w:cstheme="majorBidi"/>
        </w:rPr>
      </w:pPr>
    </w:p>
    <w:p w14:paraId="4F0FD569" w14:textId="72C4E005" w:rsidR="008A65FA" w:rsidRDefault="008A65FA" w:rsidP="000E2A8A">
      <w:pPr>
        <w:spacing w:line="276" w:lineRule="auto"/>
        <w:jc w:val="both"/>
        <w:rPr>
          <w:rFonts w:cstheme="majorBidi"/>
        </w:rPr>
      </w:pPr>
      <w:r w:rsidRPr="00E271E1">
        <w:rPr>
          <w:rFonts w:cstheme="majorBidi"/>
        </w:rPr>
        <w:t xml:space="preserve">Development of criteria for redundancy and loading has been the subject of several technical meeting with full participation of the research team. </w:t>
      </w:r>
    </w:p>
    <w:p w14:paraId="05D3268B" w14:textId="79B4A746" w:rsidR="00456A7C" w:rsidRDefault="00456A7C" w:rsidP="000E2A8A">
      <w:pPr>
        <w:spacing w:line="276" w:lineRule="auto"/>
        <w:jc w:val="both"/>
        <w:rPr>
          <w:rFonts w:cstheme="majorBidi"/>
        </w:rPr>
      </w:pPr>
    </w:p>
    <w:p w14:paraId="2282318D" w14:textId="606A4FBA" w:rsidR="00456A7C" w:rsidRDefault="00456A7C" w:rsidP="000E2A8A">
      <w:pPr>
        <w:spacing w:line="276" w:lineRule="auto"/>
        <w:jc w:val="both"/>
        <w:rPr>
          <w:rFonts w:cstheme="majorBidi"/>
        </w:rPr>
      </w:pPr>
    </w:p>
    <w:p w14:paraId="698169EF" w14:textId="7ED504E9" w:rsidR="00456A7C" w:rsidRDefault="00456A7C" w:rsidP="000E2A8A">
      <w:pPr>
        <w:spacing w:line="276" w:lineRule="auto"/>
        <w:jc w:val="both"/>
        <w:rPr>
          <w:rFonts w:cstheme="majorBidi"/>
        </w:rPr>
      </w:pPr>
    </w:p>
    <w:p w14:paraId="4D2A6A89" w14:textId="4C2A6412" w:rsidR="00456A7C" w:rsidRDefault="00456A7C" w:rsidP="000E2A8A">
      <w:pPr>
        <w:spacing w:line="276" w:lineRule="auto"/>
        <w:jc w:val="both"/>
        <w:rPr>
          <w:rFonts w:cstheme="majorBidi"/>
        </w:rPr>
      </w:pPr>
    </w:p>
    <w:p w14:paraId="114DE8FF" w14:textId="620774B3" w:rsidR="00456A7C" w:rsidRDefault="00456A7C" w:rsidP="000E2A8A">
      <w:pPr>
        <w:spacing w:line="276" w:lineRule="auto"/>
        <w:jc w:val="both"/>
        <w:rPr>
          <w:rFonts w:cstheme="majorBidi"/>
        </w:rPr>
      </w:pPr>
    </w:p>
    <w:p w14:paraId="5314D044" w14:textId="5A1CB588" w:rsidR="00456A7C" w:rsidRDefault="00456A7C" w:rsidP="000E2A8A">
      <w:pPr>
        <w:spacing w:line="276" w:lineRule="auto"/>
        <w:jc w:val="both"/>
        <w:rPr>
          <w:rFonts w:cstheme="majorBidi"/>
        </w:rPr>
      </w:pPr>
    </w:p>
    <w:p w14:paraId="1A6D08B0" w14:textId="710C2149" w:rsidR="00456A7C" w:rsidRDefault="00456A7C" w:rsidP="000E2A8A">
      <w:pPr>
        <w:spacing w:line="276" w:lineRule="auto"/>
        <w:jc w:val="both"/>
        <w:rPr>
          <w:rFonts w:cstheme="majorBidi"/>
        </w:rPr>
      </w:pPr>
    </w:p>
    <w:p w14:paraId="7965ED28" w14:textId="1AE8C0CF" w:rsidR="00456A7C" w:rsidRDefault="00456A7C" w:rsidP="000E2A8A">
      <w:pPr>
        <w:spacing w:line="276" w:lineRule="auto"/>
        <w:jc w:val="both"/>
        <w:rPr>
          <w:rFonts w:cstheme="majorBidi"/>
        </w:rPr>
      </w:pPr>
    </w:p>
    <w:p w14:paraId="6E3975E6" w14:textId="2889A160" w:rsidR="00456A7C" w:rsidRDefault="00456A7C" w:rsidP="000E2A8A">
      <w:pPr>
        <w:spacing w:line="276" w:lineRule="auto"/>
        <w:jc w:val="both"/>
        <w:rPr>
          <w:rFonts w:cstheme="majorBidi"/>
        </w:rPr>
      </w:pPr>
    </w:p>
    <w:p w14:paraId="4300A6AF" w14:textId="6388A4CF" w:rsidR="00456A7C" w:rsidRDefault="00456A7C" w:rsidP="000E2A8A">
      <w:pPr>
        <w:spacing w:line="276" w:lineRule="auto"/>
        <w:jc w:val="both"/>
        <w:rPr>
          <w:rFonts w:cstheme="majorBidi"/>
        </w:rPr>
      </w:pPr>
    </w:p>
    <w:p w14:paraId="0C277849" w14:textId="1CD9AFD6" w:rsidR="00456A7C" w:rsidRDefault="00456A7C" w:rsidP="000E2A8A">
      <w:pPr>
        <w:spacing w:line="276" w:lineRule="auto"/>
        <w:jc w:val="both"/>
        <w:rPr>
          <w:rFonts w:cstheme="majorBidi"/>
        </w:rPr>
      </w:pPr>
    </w:p>
    <w:p w14:paraId="663B7091" w14:textId="5FEEF5D7" w:rsidR="00456A7C" w:rsidRDefault="00456A7C" w:rsidP="000E2A8A">
      <w:pPr>
        <w:spacing w:line="276" w:lineRule="auto"/>
        <w:jc w:val="both"/>
        <w:rPr>
          <w:rFonts w:cstheme="majorBidi"/>
        </w:rPr>
      </w:pPr>
    </w:p>
    <w:p w14:paraId="6D5A1484" w14:textId="17005DB6" w:rsidR="00456A7C" w:rsidRDefault="00456A7C" w:rsidP="000E2A8A">
      <w:pPr>
        <w:spacing w:line="276" w:lineRule="auto"/>
        <w:jc w:val="both"/>
        <w:rPr>
          <w:rFonts w:cstheme="majorBidi"/>
        </w:rPr>
      </w:pPr>
    </w:p>
    <w:p w14:paraId="0417DFAB" w14:textId="2E440A9D" w:rsidR="00456A7C" w:rsidRDefault="00456A7C" w:rsidP="000E2A8A">
      <w:pPr>
        <w:spacing w:line="276" w:lineRule="auto"/>
        <w:jc w:val="both"/>
        <w:rPr>
          <w:rFonts w:cstheme="majorBidi"/>
        </w:rPr>
      </w:pPr>
    </w:p>
    <w:p w14:paraId="0358019B" w14:textId="70CABB98" w:rsidR="00456A7C" w:rsidRDefault="00456A7C" w:rsidP="000E2A8A">
      <w:pPr>
        <w:spacing w:line="276" w:lineRule="auto"/>
        <w:jc w:val="both"/>
        <w:rPr>
          <w:rFonts w:cstheme="majorBidi"/>
        </w:rPr>
      </w:pPr>
    </w:p>
    <w:p w14:paraId="2C8B974A" w14:textId="36804F4D" w:rsidR="00456A7C" w:rsidRDefault="00456A7C" w:rsidP="000E2A8A">
      <w:pPr>
        <w:spacing w:line="276" w:lineRule="auto"/>
        <w:jc w:val="both"/>
        <w:rPr>
          <w:rFonts w:cstheme="majorBidi"/>
        </w:rPr>
      </w:pPr>
    </w:p>
    <w:p w14:paraId="736F0A5F" w14:textId="1FCB3CEC" w:rsidR="00456A7C" w:rsidRDefault="00456A7C" w:rsidP="000E2A8A">
      <w:pPr>
        <w:spacing w:line="276" w:lineRule="auto"/>
        <w:jc w:val="both"/>
        <w:rPr>
          <w:rFonts w:cstheme="majorBidi"/>
        </w:rPr>
      </w:pPr>
    </w:p>
    <w:p w14:paraId="52ECFF60" w14:textId="41032F27" w:rsidR="00456A7C" w:rsidRDefault="00456A7C" w:rsidP="000E2A8A">
      <w:pPr>
        <w:spacing w:line="276" w:lineRule="auto"/>
        <w:jc w:val="both"/>
        <w:rPr>
          <w:rFonts w:cstheme="majorBidi"/>
        </w:rPr>
      </w:pPr>
    </w:p>
    <w:p w14:paraId="3234CD53" w14:textId="50872180" w:rsidR="00456A7C" w:rsidRDefault="00456A7C" w:rsidP="000E2A8A">
      <w:pPr>
        <w:spacing w:line="276" w:lineRule="auto"/>
        <w:jc w:val="both"/>
        <w:rPr>
          <w:rFonts w:cstheme="majorBidi"/>
        </w:rPr>
      </w:pPr>
    </w:p>
    <w:p w14:paraId="6B1D014A" w14:textId="228FAB03" w:rsidR="00456A7C" w:rsidRDefault="00456A7C" w:rsidP="000E2A8A">
      <w:pPr>
        <w:spacing w:line="276" w:lineRule="auto"/>
        <w:jc w:val="both"/>
        <w:rPr>
          <w:rFonts w:cstheme="majorBidi"/>
        </w:rPr>
      </w:pPr>
    </w:p>
    <w:p w14:paraId="7CA06256" w14:textId="00EABC6E" w:rsidR="00456A7C" w:rsidRDefault="00456A7C" w:rsidP="000E2A8A">
      <w:pPr>
        <w:spacing w:line="276" w:lineRule="auto"/>
        <w:jc w:val="both"/>
        <w:rPr>
          <w:rFonts w:cstheme="majorBidi"/>
        </w:rPr>
      </w:pPr>
    </w:p>
    <w:p w14:paraId="484B78E4" w14:textId="22C6D37C" w:rsidR="00456A7C" w:rsidRDefault="00456A7C" w:rsidP="000E2A8A">
      <w:pPr>
        <w:spacing w:line="276" w:lineRule="auto"/>
        <w:jc w:val="both"/>
        <w:rPr>
          <w:rFonts w:cstheme="majorBidi"/>
        </w:rPr>
      </w:pPr>
    </w:p>
    <w:p w14:paraId="40ABF01F" w14:textId="22E7B56C" w:rsidR="00456A7C" w:rsidRDefault="00456A7C" w:rsidP="000E2A8A">
      <w:pPr>
        <w:spacing w:line="276" w:lineRule="auto"/>
        <w:jc w:val="both"/>
        <w:rPr>
          <w:rFonts w:cstheme="majorBidi"/>
        </w:rPr>
      </w:pPr>
    </w:p>
    <w:p w14:paraId="2E27AECD" w14:textId="59EE40C5" w:rsidR="00456A7C" w:rsidRDefault="00456A7C" w:rsidP="000E2A8A">
      <w:pPr>
        <w:spacing w:line="276" w:lineRule="auto"/>
        <w:jc w:val="both"/>
        <w:rPr>
          <w:rFonts w:cstheme="majorBidi"/>
        </w:rPr>
      </w:pPr>
    </w:p>
    <w:p w14:paraId="2437B8BC" w14:textId="0FCA24A7" w:rsidR="00456A7C" w:rsidRDefault="00456A7C" w:rsidP="000E2A8A">
      <w:pPr>
        <w:spacing w:line="276" w:lineRule="auto"/>
        <w:jc w:val="both"/>
        <w:rPr>
          <w:rFonts w:cstheme="majorBidi"/>
        </w:rPr>
      </w:pPr>
    </w:p>
    <w:p w14:paraId="58ECD0C4" w14:textId="463B79CC" w:rsidR="00456A7C" w:rsidRDefault="00456A7C" w:rsidP="000E2A8A">
      <w:pPr>
        <w:spacing w:line="276" w:lineRule="auto"/>
        <w:jc w:val="both"/>
        <w:rPr>
          <w:rFonts w:cstheme="majorBidi"/>
        </w:rPr>
      </w:pPr>
    </w:p>
    <w:p w14:paraId="72BC62F8" w14:textId="77777777" w:rsidR="00456A7C" w:rsidRPr="000E2A8A" w:rsidRDefault="00456A7C" w:rsidP="000E2A8A">
      <w:pPr>
        <w:spacing w:line="276" w:lineRule="auto"/>
        <w:jc w:val="both"/>
        <w:rPr>
          <w:rFonts w:cstheme="majorBidi"/>
        </w:rPr>
      </w:pPr>
    </w:p>
    <w:p w14:paraId="6C2AFE66" w14:textId="2DD93569" w:rsidR="00E175D1" w:rsidRDefault="00FE642E" w:rsidP="00107F76">
      <w:pPr>
        <w:pStyle w:val="Heading1"/>
        <w:numPr>
          <w:ilvl w:val="0"/>
          <w:numId w:val="0"/>
        </w:numPr>
        <w:ind w:left="432"/>
      </w:pPr>
      <w:bookmarkStart w:id="35" w:name="_Toc7519860"/>
      <w:r w:rsidRPr="00FE642E">
        <w:lastRenderedPageBreak/>
        <w:t>REFERENCES</w:t>
      </w:r>
      <w:bookmarkEnd w:id="35"/>
    </w:p>
    <w:p w14:paraId="3C953E44" w14:textId="2622248C" w:rsidR="00860308" w:rsidRPr="00860308" w:rsidRDefault="00FE642E" w:rsidP="00860308">
      <w:pPr>
        <w:widowControl w:val="0"/>
        <w:autoSpaceDE w:val="0"/>
        <w:autoSpaceDN w:val="0"/>
        <w:adjustRightInd w:val="0"/>
        <w:spacing w:line="240" w:lineRule="auto"/>
        <w:ind w:left="480" w:hanging="480"/>
        <w:rPr>
          <w:rFonts w:ascii="Times New Roman" w:hAnsi="Times New Roman" w:cs="Times New Roman"/>
          <w:noProof/>
        </w:rPr>
      </w:pPr>
      <w:r>
        <w:rPr>
          <w:rFonts w:cstheme="majorBidi"/>
        </w:rPr>
        <w:fldChar w:fldCharType="begin" w:fldLock="1"/>
      </w:r>
      <w:r>
        <w:rPr>
          <w:rFonts w:cstheme="majorBidi"/>
        </w:rPr>
        <w:instrText xml:space="preserve">ADDIN Mendeley Bibliography CSL_BIBLIOGRAPHY </w:instrText>
      </w:r>
      <w:r>
        <w:rPr>
          <w:rFonts w:cstheme="majorBidi"/>
        </w:rPr>
        <w:fldChar w:fldCharType="separate"/>
      </w:r>
      <w:r w:rsidR="00860308" w:rsidRPr="00860308">
        <w:rPr>
          <w:rFonts w:ascii="Times New Roman" w:hAnsi="Times New Roman" w:cs="Times New Roman"/>
          <w:noProof/>
        </w:rPr>
        <w:t xml:space="preserve">A. Samimi1 *, E. Rahimi1, H. R. A. 1. (2017). “A Disaggregate Analysis of Rail-Truck Mode Choice Behaviors for Freight Shipments in Iran and their Environment Effects.” </w:t>
      </w:r>
      <w:r w:rsidR="00860308" w:rsidRPr="00860308">
        <w:rPr>
          <w:rFonts w:ascii="Times New Roman" w:hAnsi="Times New Roman" w:cs="Times New Roman"/>
          <w:i/>
          <w:iCs/>
          <w:noProof/>
        </w:rPr>
        <w:t>Amirkabir Journal of Civil Engineering</w:t>
      </w:r>
      <w:r w:rsidR="00860308" w:rsidRPr="00860308">
        <w:rPr>
          <w:rFonts w:ascii="Times New Roman" w:hAnsi="Times New Roman" w:cs="Times New Roman"/>
          <w:noProof/>
        </w:rPr>
        <w:t>, (January 2018).</w:t>
      </w:r>
    </w:p>
    <w:p w14:paraId="448299F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AASHTO. (2011). “The Manual for Bridge Evaluation.” </w:t>
      </w:r>
      <w:r w:rsidRPr="00860308">
        <w:rPr>
          <w:rFonts w:ascii="Times New Roman" w:hAnsi="Times New Roman" w:cs="Times New Roman"/>
          <w:i/>
          <w:iCs/>
          <w:noProof/>
        </w:rPr>
        <w:t>American Association of State Highway and Transportation Officials, 2nd Edition, Washington, D.C.</w:t>
      </w:r>
      <w:r w:rsidRPr="00860308">
        <w:rPr>
          <w:rFonts w:ascii="Times New Roman" w:hAnsi="Times New Roman" w:cs="Times New Roman"/>
          <w:noProof/>
        </w:rPr>
        <w:t>, AASHTO.</w:t>
      </w:r>
    </w:p>
    <w:p w14:paraId="615A25DF"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AASHTO. (2017). </w:t>
      </w:r>
      <w:r w:rsidRPr="00860308">
        <w:rPr>
          <w:rFonts w:ascii="Times New Roman" w:hAnsi="Times New Roman" w:cs="Times New Roman"/>
          <w:i/>
          <w:iCs/>
          <w:noProof/>
        </w:rPr>
        <w:t>AASHTO LRFD Bridge Design Specifications (8th ed.)</w:t>
      </w:r>
      <w:r w:rsidRPr="00860308">
        <w:rPr>
          <w:rFonts w:ascii="Times New Roman" w:hAnsi="Times New Roman" w:cs="Times New Roman"/>
          <w:noProof/>
        </w:rPr>
        <w:t>. American Association of State Highway and Transportation Officials, Washington, D.C.</w:t>
      </w:r>
    </w:p>
    <w:p w14:paraId="5A6BC73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AASHTO and AWS. (2015). “AASHTO/AWS D1.5M/D1.5: Bridge Welding Code,.” Washington, DC, Miami, FL,.</w:t>
      </w:r>
    </w:p>
    <w:p w14:paraId="73C71FD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Abedin, M., Farhangdoust, S., and Mehrabi, A. B. (2019a). “Fracture detection in steel girder bridges using self-powered wireless sensors.” </w:t>
      </w:r>
      <w:r w:rsidRPr="00860308">
        <w:rPr>
          <w:rFonts w:ascii="Times New Roman" w:hAnsi="Times New Roman" w:cs="Times New Roman"/>
          <w:i/>
          <w:iCs/>
          <w:noProof/>
        </w:rPr>
        <w:t>In Risk-Based Bridge Engineering: Proceedings of the 10th New York City Bridge Conference, August 26-27, 2019</w:t>
      </w:r>
      <w:r w:rsidRPr="00860308">
        <w:rPr>
          <w:rFonts w:ascii="Times New Roman" w:hAnsi="Times New Roman" w:cs="Times New Roman"/>
          <w:noProof/>
        </w:rPr>
        <w:t>, CRC Press, New York City, USA, 216.</w:t>
      </w:r>
    </w:p>
    <w:p w14:paraId="391E3DA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Abedin, M., Maleki, S., Kiani, N., and Shahrokhinasab, E. (2019b). “Shear lag effects in angles welded at both legs.” </w:t>
      </w:r>
      <w:r w:rsidRPr="00860308">
        <w:rPr>
          <w:rFonts w:ascii="Times New Roman" w:hAnsi="Times New Roman" w:cs="Times New Roman"/>
          <w:i/>
          <w:iCs/>
          <w:noProof/>
        </w:rPr>
        <w:t>Advances in Civil Engineering</w:t>
      </w:r>
      <w:r w:rsidRPr="00860308">
        <w:rPr>
          <w:rFonts w:ascii="Times New Roman" w:hAnsi="Times New Roman" w:cs="Times New Roman"/>
          <w:noProof/>
        </w:rPr>
        <w:t>, Hindawi Limited, 2019.</w:t>
      </w:r>
    </w:p>
    <w:p w14:paraId="5830C7F9"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Abedin, M., and Mehrabi, A. B. (2019). “Novel Approaches for Fracture Detection in Steel Girder Bridges.” </w:t>
      </w:r>
      <w:r w:rsidRPr="00860308">
        <w:rPr>
          <w:rFonts w:ascii="Times New Roman" w:hAnsi="Times New Roman" w:cs="Times New Roman"/>
          <w:i/>
          <w:iCs/>
          <w:noProof/>
        </w:rPr>
        <w:t>Infrastructures</w:t>
      </w:r>
      <w:r w:rsidRPr="00860308">
        <w:rPr>
          <w:rFonts w:ascii="Times New Roman" w:hAnsi="Times New Roman" w:cs="Times New Roman"/>
          <w:noProof/>
        </w:rPr>
        <w:t>, 4(3), 42.</w:t>
      </w:r>
    </w:p>
    <w:p w14:paraId="62748926"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Connor, R. J., Martín, B., Francisco, J., Varma, A., Lai, Z., and Korkmaz, C. (2018). </w:t>
      </w:r>
      <w:r w:rsidRPr="00860308">
        <w:rPr>
          <w:rFonts w:ascii="Times New Roman" w:hAnsi="Times New Roman" w:cs="Times New Roman"/>
          <w:i/>
          <w:iCs/>
          <w:noProof/>
        </w:rPr>
        <w:t>Fracture-Critical System Analysis for Steel Bridges</w:t>
      </w:r>
      <w:r w:rsidRPr="00860308">
        <w:rPr>
          <w:rFonts w:ascii="Times New Roman" w:hAnsi="Times New Roman" w:cs="Times New Roman"/>
          <w:noProof/>
        </w:rPr>
        <w:t>.</w:t>
      </w:r>
    </w:p>
    <w:p w14:paraId="2BBE7403"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Daniels, J. H., Kim, W., and Wilson, J. L. (1988). “Guidelines for redundancy design and rating of two-girder steel bridges, Final Report, November 1988, 365p.”</w:t>
      </w:r>
    </w:p>
    <w:p w14:paraId="44755E92"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Ghoddousi, P., Abbasi, A. M., Shahrokhinasab, E., and Abedin, M. (2019). “Prediction of Plastic Shrinkage Cracking of Self-Compacting Concrete.” </w:t>
      </w:r>
      <w:r w:rsidRPr="00860308">
        <w:rPr>
          <w:rFonts w:ascii="Times New Roman" w:hAnsi="Times New Roman" w:cs="Times New Roman"/>
          <w:i/>
          <w:iCs/>
          <w:noProof/>
        </w:rPr>
        <w:t>Advances in Civil Engineering</w:t>
      </w:r>
      <w:r w:rsidRPr="00860308">
        <w:rPr>
          <w:rFonts w:ascii="Times New Roman" w:hAnsi="Times New Roman" w:cs="Times New Roman"/>
          <w:noProof/>
        </w:rPr>
        <w:t>, Hindawi Limited, 2019.</w:t>
      </w:r>
    </w:p>
    <w:p w14:paraId="65B9EBD1"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Hebdon, M. H., Singh, J., and Connor, R. J. (2017). “Redundancy and Fracture Resilience of Built-Up Steel Girders.” </w:t>
      </w:r>
      <w:r w:rsidRPr="00860308">
        <w:rPr>
          <w:rFonts w:ascii="Times New Roman" w:hAnsi="Times New Roman" w:cs="Times New Roman"/>
          <w:i/>
          <w:iCs/>
          <w:noProof/>
        </w:rPr>
        <w:t>Structures Congress 2017</w:t>
      </w:r>
      <w:r w:rsidRPr="00860308">
        <w:rPr>
          <w:rFonts w:ascii="Times New Roman" w:hAnsi="Times New Roman" w:cs="Times New Roman"/>
          <w:noProof/>
        </w:rPr>
        <w:t>, 162–174.</w:t>
      </w:r>
    </w:p>
    <w:p w14:paraId="28989688"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Hovell, C. G. (2007). “Evaluation of redundancy in trapezoidal box-girder bridges using finite element analysis.”</w:t>
      </w:r>
    </w:p>
    <w:p w14:paraId="00D39E93"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Idriss, R. L., White, K. R., Woodward, C. B., and Jauregui, D. V. (1995). “Evaluation and testing of a fracture critical bridge.” </w:t>
      </w:r>
      <w:r w:rsidRPr="00860308">
        <w:rPr>
          <w:rFonts w:ascii="Times New Roman" w:hAnsi="Times New Roman" w:cs="Times New Roman"/>
          <w:i/>
          <w:iCs/>
          <w:noProof/>
        </w:rPr>
        <w:t>NDT &amp; E International</w:t>
      </w:r>
      <w:r w:rsidRPr="00860308">
        <w:rPr>
          <w:rFonts w:ascii="Times New Roman" w:hAnsi="Times New Roman" w:cs="Times New Roman"/>
          <w:noProof/>
        </w:rPr>
        <w:t>, Elsevier, 28(6), 339–347.</w:t>
      </w:r>
    </w:p>
    <w:p w14:paraId="51772599"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Nazari, F., Rahimi, E., and Mohammadian, A. (Kouros). (2019). “Simultaneous estimation of battery electric vehicle adoption with endogenous willingness to pay.” </w:t>
      </w:r>
      <w:r w:rsidRPr="00860308">
        <w:rPr>
          <w:rFonts w:ascii="Times New Roman" w:hAnsi="Times New Roman" w:cs="Times New Roman"/>
          <w:i/>
          <w:iCs/>
          <w:noProof/>
        </w:rPr>
        <w:t>eTransportation</w:t>
      </w:r>
      <w:r w:rsidRPr="00860308">
        <w:rPr>
          <w:rFonts w:ascii="Times New Roman" w:hAnsi="Times New Roman" w:cs="Times New Roman"/>
          <w:noProof/>
        </w:rPr>
        <w:t>, Elsevier BV, 1, 100008.</w:t>
      </w:r>
    </w:p>
    <w:p w14:paraId="62EA4143"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Neuman, B. J. (2009). “Evaluating the redundancy of steel bridges: Full-scale destructive testing of a fracture critical twin box-girder steel bridge.” University of Texas at Austin.</w:t>
      </w:r>
    </w:p>
    <w:p w14:paraId="4FD6951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Pham, H. V. (2016). “Evaluation of Redundancy of Twin Steel Box-Girder Bridges.”</w:t>
      </w:r>
    </w:p>
    <w:p w14:paraId="762330FB"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Rahimi, E., Shamshiripour, A., Shabanpour, R., Mohammadian, A., and Auld, J. (2019). “Analysis of transit users’ waiting tolerance in response to unplanned service disruptions.” </w:t>
      </w:r>
      <w:r w:rsidRPr="00860308">
        <w:rPr>
          <w:rFonts w:ascii="Times New Roman" w:hAnsi="Times New Roman" w:cs="Times New Roman"/>
          <w:i/>
          <w:iCs/>
          <w:noProof/>
        </w:rPr>
        <w:t>Transportation Research Part D: Transport and Environment</w:t>
      </w:r>
      <w:r w:rsidRPr="00860308">
        <w:rPr>
          <w:rFonts w:ascii="Times New Roman" w:hAnsi="Times New Roman" w:cs="Times New Roman"/>
          <w:noProof/>
        </w:rPr>
        <w:t>, Elsevier Ltd.</w:t>
      </w:r>
    </w:p>
    <w:p w14:paraId="3F1AF6E8"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Samimi, A., Rahimi, E., Amini, H., and Jamshidi, H. (2019). “Freight Modal Policies Toward a Sustainable Society.” </w:t>
      </w:r>
      <w:r w:rsidRPr="00860308">
        <w:rPr>
          <w:rFonts w:ascii="Times New Roman" w:hAnsi="Times New Roman" w:cs="Times New Roman"/>
          <w:i/>
          <w:iCs/>
          <w:noProof/>
        </w:rPr>
        <w:t>Scientia Iranica</w:t>
      </w:r>
      <w:r w:rsidRPr="00860308">
        <w:rPr>
          <w:rFonts w:ascii="Times New Roman" w:hAnsi="Times New Roman" w:cs="Times New Roman"/>
          <w:noProof/>
        </w:rPr>
        <w:t>, Sharif University of Technology, 0(0), 0–0.</w:t>
      </w:r>
    </w:p>
    <w:p w14:paraId="087F0783"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Williamson, E. B., Kim, J., and Frank, K. H. (2010). “Redundancy evaluation of twin steel box-girder bridges using finite element analyses.” </w:t>
      </w:r>
      <w:r w:rsidRPr="00860308">
        <w:rPr>
          <w:rFonts w:ascii="Times New Roman" w:hAnsi="Times New Roman" w:cs="Times New Roman"/>
          <w:i/>
          <w:iCs/>
          <w:noProof/>
        </w:rPr>
        <w:t>Structures Congress 2010</w:t>
      </w:r>
      <w:r w:rsidRPr="00860308">
        <w:rPr>
          <w:rFonts w:ascii="Times New Roman" w:hAnsi="Times New Roman" w:cs="Times New Roman"/>
          <w:noProof/>
        </w:rPr>
        <w:t>, 2793–2802.</w:t>
      </w:r>
    </w:p>
    <w:p w14:paraId="087ECF59" w14:textId="4DEC09B6" w:rsidR="00093275" w:rsidRPr="00905606" w:rsidRDefault="00FE642E" w:rsidP="00BC77B1">
      <w:pPr>
        <w:spacing w:line="276" w:lineRule="auto"/>
        <w:jc w:val="both"/>
      </w:pPr>
      <w:r>
        <w:rPr>
          <w:rFonts w:cstheme="majorBidi"/>
        </w:rPr>
        <w:fldChar w:fldCharType="end"/>
      </w:r>
    </w:p>
    <w:sectPr w:rsidR="00093275" w:rsidRPr="00905606" w:rsidSect="00F051A4">
      <w:footerReference w:type="default" r:id="rId21"/>
      <w:pgSz w:w="12240" w:h="15840" w:code="1"/>
      <w:pgMar w:top="1440" w:right="1440" w:bottom="1440" w:left="1440" w:header="720" w:footer="720" w:gutter="0"/>
      <w:pgNumType w:fmt="lowerRoman"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E5E48" w14:textId="77777777" w:rsidR="00B42E10" w:rsidRDefault="00B42E10" w:rsidP="0009235E">
      <w:pPr>
        <w:spacing w:line="240" w:lineRule="auto"/>
      </w:pPr>
      <w:r>
        <w:separator/>
      </w:r>
    </w:p>
  </w:endnote>
  <w:endnote w:type="continuationSeparator" w:id="0">
    <w:p w14:paraId="401B8781" w14:textId="77777777" w:rsidR="00B42E10" w:rsidRDefault="00B42E10" w:rsidP="00092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lgun Gocode MS">
    <w:altName w:val="Malgun Gothic"/>
    <w:panose1 w:val="00000000000000000000"/>
    <w:charset w:val="81"/>
    <w:family w:val="roman"/>
    <w:notTrueType/>
    <w:pitch w:val="default"/>
    <w:sig w:usb0="00000000"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0384E" w14:textId="471E99F9" w:rsidR="00CB4860" w:rsidRDefault="00CB4860" w:rsidP="00D63900">
    <w:pPr>
      <w:pStyle w:val="Footer"/>
      <w:jc w:val="center"/>
    </w:pPr>
  </w:p>
  <w:p w14:paraId="6FF4FDB1" w14:textId="77777777" w:rsidR="00CB4860" w:rsidRDefault="00CB4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202758"/>
      <w:docPartObj>
        <w:docPartGallery w:val="Page Numbers (Bottom of Page)"/>
        <w:docPartUnique/>
      </w:docPartObj>
    </w:sdtPr>
    <w:sdtEndPr>
      <w:rPr>
        <w:noProof/>
      </w:rPr>
    </w:sdtEndPr>
    <w:sdtContent>
      <w:p w14:paraId="2BD7E638" w14:textId="1C70E7F9" w:rsidR="00CB4860" w:rsidRDefault="00FF5E24" w:rsidP="00FF5E24">
        <w:pPr>
          <w:pStyle w:val="Footer"/>
          <w:jc w:val="center"/>
        </w:pPr>
        <w:r>
          <w:fldChar w:fldCharType="begin"/>
        </w:r>
        <w:r>
          <w:instrText xml:space="preserve"> PAGE  \* Arabic  \* MERGEFORMAT </w:instrText>
        </w:r>
        <w:r>
          <w:fldChar w:fldCharType="separate"/>
        </w:r>
        <w:r w:rsidR="007646CA">
          <w:rPr>
            <w:noProof/>
          </w:rPr>
          <w:t>2</w:t>
        </w:r>
        <w:r>
          <w:fldChar w:fldCharType="end"/>
        </w:r>
      </w:p>
    </w:sdtContent>
  </w:sdt>
  <w:p w14:paraId="14A7BF26" w14:textId="77777777" w:rsidR="00CB4860" w:rsidRDefault="00CB4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3E8FF" w14:textId="77777777" w:rsidR="00B42E10" w:rsidRDefault="00B42E10" w:rsidP="0009235E">
      <w:pPr>
        <w:spacing w:line="240" w:lineRule="auto"/>
      </w:pPr>
      <w:r>
        <w:separator/>
      </w:r>
    </w:p>
  </w:footnote>
  <w:footnote w:type="continuationSeparator" w:id="0">
    <w:p w14:paraId="33B7D6E8" w14:textId="77777777" w:rsidR="00B42E10" w:rsidRDefault="00B42E10" w:rsidP="000923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31641E4"/>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22CBE5A"/>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49753E2"/>
    <w:multiLevelType w:val="hybridMultilevel"/>
    <w:tmpl w:val="2D847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1018E"/>
    <w:multiLevelType w:val="hybridMultilevel"/>
    <w:tmpl w:val="CB78575C"/>
    <w:lvl w:ilvl="0" w:tplc="198A4A7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74F89"/>
    <w:multiLevelType w:val="hybridMultilevel"/>
    <w:tmpl w:val="41B88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34C4C"/>
    <w:multiLevelType w:val="hybridMultilevel"/>
    <w:tmpl w:val="83143076"/>
    <w:lvl w:ilvl="0" w:tplc="84F070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015C94"/>
    <w:multiLevelType w:val="hybridMultilevel"/>
    <w:tmpl w:val="E7C06412"/>
    <w:lvl w:ilvl="0" w:tplc="198A4A7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9828EB"/>
    <w:multiLevelType w:val="hybridMultilevel"/>
    <w:tmpl w:val="9E720DF8"/>
    <w:lvl w:ilvl="0" w:tplc="B7D27D3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7EB0EE1"/>
    <w:multiLevelType w:val="hybridMultilevel"/>
    <w:tmpl w:val="1BD41E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DB23839"/>
    <w:multiLevelType w:val="hybridMultilevel"/>
    <w:tmpl w:val="5AEC9686"/>
    <w:lvl w:ilvl="0" w:tplc="FDEE4CF0">
      <w:start w:val="1"/>
      <w:numFmt w:val="bullet"/>
      <w:lvlText w:val="•"/>
      <w:lvlJc w:val="left"/>
      <w:pPr>
        <w:tabs>
          <w:tab w:val="num" w:pos="720"/>
        </w:tabs>
        <w:ind w:left="720" w:hanging="360"/>
      </w:pPr>
      <w:rPr>
        <w:rFonts w:ascii="Arial" w:hAnsi="Arial" w:hint="default"/>
      </w:rPr>
    </w:lvl>
    <w:lvl w:ilvl="1" w:tplc="26388046" w:tentative="1">
      <w:start w:val="1"/>
      <w:numFmt w:val="bullet"/>
      <w:lvlText w:val="•"/>
      <w:lvlJc w:val="left"/>
      <w:pPr>
        <w:tabs>
          <w:tab w:val="num" w:pos="1440"/>
        </w:tabs>
        <w:ind w:left="1440" w:hanging="360"/>
      </w:pPr>
      <w:rPr>
        <w:rFonts w:ascii="Arial" w:hAnsi="Arial" w:hint="default"/>
      </w:rPr>
    </w:lvl>
    <w:lvl w:ilvl="2" w:tplc="9C0C2948" w:tentative="1">
      <w:start w:val="1"/>
      <w:numFmt w:val="bullet"/>
      <w:lvlText w:val="•"/>
      <w:lvlJc w:val="left"/>
      <w:pPr>
        <w:tabs>
          <w:tab w:val="num" w:pos="2160"/>
        </w:tabs>
        <w:ind w:left="2160" w:hanging="360"/>
      </w:pPr>
      <w:rPr>
        <w:rFonts w:ascii="Arial" w:hAnsi="Arial" w:hint="default"/>
      </w:rPr>
    </w:lvl>
    <w:lvl w:ilvl="3" w:tplc="F740E53A" w:tentative="1">
      <w:start w:val="1"/>
      <w:numFmt w:val="bullet"/>
      <w:lvlText w:val="•"/>
      <w:lvlJc w:val="left"/>
      <w:pPr>
        <w:tabs>
          <w:tab w:val="num" w:pos="2880"/>
        </w:tabs>
        <w:ind w:left="2880" w:hanging="360"/>
      </w:pPr>
      <w:rPr>
        <w:rFonts w:ascii="Arial" w:hAnsi="Arial" w:hint="default"/>
      </w:rPr>
    </w:lvl>
    <w:lvl w:ilvl="4" w:tplc="6934886E" w:tentative="1">
      <w:start w:val="1"/>
      <w:numFmt w:val="bullet"/>
      <w:lvlText w:val="•"/>
      <w:lvlJc w:val="left"/>
      <w:pPr>
        <w:tabs>
          <w:tab w:val="num" w:pos="3600"/>
        </w:tabs>
        <w:ind w:left="3600" w:hanging="360"/>
      </w:pPr>
      <w:rPr>
        <w:rFonts w:ascii="Arial" w:hAnsi="Arial" w:hint="default"/>
      </w:rPr>
    </w:lvl>
    <w:lvl w:ilvl="5" w:tplc="8390BD5C" w:tentative="1">
      <w:start w:val="1"/>
      <w:numFmt w:val="bullet"/>
      <w:lvlText w:val="•"/>
      <w:lvlJc w:val="left"/>
      <w:pPr>
        <w:tabs>
          <w:tab w:val="num" w:pos="4320"/>
        </w:tabs>
        <w:ind w:left="4320" w:hanging="360"/>
      </w:pPr>
      <w:rPr>
        <w:rFonts w:ascii="Arial" w:hAnsi="Arial" w:hint="default"/>
      </w:rPr>
    </w:lvl>
    <w:lvl w:ilvl="6" w:tplc="E8187268" w:tentative="1">
      <w:start w:val="1"/>
      <w:numFmt w:val="bullet"/>
      <w:lvlText w:val="•"/>
      <w:lvlJc w:val="left"/>
      <w:pPr>
        <w:tabs>
          <w:tab w:val="num" w:pos="5040"/>
        </w:tabs>
        <w:ind w:left="5040" w:hanging="360"/>
      </w:pPr>
      <w:rPr>
        <w:rFonts w:ascii="Arial" w:hAnsi="Arial" w:hint="default"/>
      </w:rPr>
    </w:lvl>
    <w:lvl w:ilvl="7" w:tplc="82E0511C" w:tentative="1">
      <w:start w:val="1"/>
      <w:numFmt w:val="bullet"/>
      <w:lvlText w:val="•"/>
      <w:lvlJc w:val="left"/>
      <w:pPr>
        <w:tabs>
          <w:tab w:val="num" w:pos="5760"/>
        </w:tabs>
        <w:ind w:left="5760" w:hanging="360"/>
      </w:pPr>
      <w:rPr>
        <w:rFonts w:ascii="Arial" w:hAnsi="Arial" w:hint="default"/>
      </w:rPr>
    </w:lvl>
    <w:lvl w:ilvl="8" w:tplc="0630C10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0C1537"/>
    <w:multiLevelType w:val="hybridMultilevel"/>
    <w:tmpl w:val="368E5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84E7F"/>
    <w:multiLevelType w:val="hybridMultilevel"/>
    <w:tmpl w:val="5C8E2D6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E45808"/>
    <w:multiLevelType w:val="hybridMultilevel"/>
    <w:tmpl w:val="1E8054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087D3E"/>
    <w:multiLevelType w:val="hybridMultilevel"/>
    <w:tmpl w:val="3F865F0E"/>
    <w:lvl w:ilvl="0" w:tplc="FF6C682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271C9"/>
    <w:multiLevelType w:val="hybridMultilevel"/>
    <w:tmpl w:val="9476E2C2"/>
    <w:lvl w:ilvl="0" w:tplc="D8E44A60">
      <w:start w:val="1"/>
      <w:numFmt w:val="decimal"/>
      <w:lvlText w:val="%1."/>
      <w:lvlJc w:val="left"/>
      <w:pPr>
        <w:ind w:left="1267" w:hanging="360"/>
      </w:pPr>
      <w:rPr>
        <w:sz w:val="24"/>
        <w:szCs w:val="24"/>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5" w15:restartNumberingAfterBreak="0">
    <w:nsid w:val="41B91FD5"/>
    <w:multiLevelType w:val="hybridMultilevel"/>
    <w:tmpl w:val="82CEBE9C"/>
    <w:lvl w:ilvl="0" w:tplc="84F070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322DB"/>
    <w:multiLevelType w:val="hybridMultilevel"/>
    <w:tmpl w:val="24EAAE14"/>
    <w:lvl w:ilvl="0" w:tplc="BFD4CF74">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4FD3DDE"/>
    <w:multiLevelType w:val="hybridMultilevel"/>
    <w:tmpl w:val="014AF4A0"/>
    <w:lvl w:ilvl="0" w:tplc="5A2007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D12A02"/>
    <w:multiLevelType w:val="hybridMultilevel"/>
    <w:tmpl w:val="4D96C9BC"/>
    <w:lvl w:ilvl="0" w:tplc="3DB2249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84A4D82"/>
    <w:multiLevelType w:val="hybridMultilevel"/>
    <w:tmpl w:val="0CFA2C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3A3F23"/>
    <w:multiLevelType w:val="hybridMultilevel"/>
    <w:tmpl w:val="61A4253E"/>
    <w:lvl w:ilvl="0" w:tplc="181E78C2">
      <w:start w:val="1"/>
      <w:numFmt w:val="decimal"/>
      <w:lvlText w:val="%1."/>
      <w:lvlJc w:val="left"/>
      <w:pPr>
        <w:ind w:left="720" w:hanging="360"/>
      </w:pPr>
      <w:rPr>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624A054D"/>
    <w:multiLevelType w:val="multilevel"/>
    <w:tmpl w:val="1EFE65D0"/>
    <w:lvl w:ilvl="0">
      <w:start w:val="1"/>
      <w:numFmt w:val="decimal"/>
      <w:pStyle w:val="Heading1"/>
      <w:lvlText w:val="%1"/>
      <w:lvlJc w:val="left"/>
      <w:pPr>
        <w:ind w:left="432" w:hanging="432"/>
      </w:pPr>
    </w:lvl>
    <w:lvl w:ilvl="1">
      <w:start w:val="1"/>
      <w:numFmt w:val="decimal"/>
      <w:pStyle w:val="Heading2"/>
      <w:lvlText w:val="%1.%2"/>
      <w:lvlJc w:val="left"/>
      <w:pPr>
        <w:ind w:left="3006" w:hanging="576"/>
      </w:pPr>
      <w:rPr>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44D3B0A"/>
    <w:multiLevelType w:val="hybridMultilevel"/>
    <w:tmpl w:val="42BE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7F246D"/>
    <w:multiLevelType w:val="hybridMultilevel"/>
    <w:tmpl w:val="441072C0"/>
    <w:lvl w:ilvl="0" w:tplc="BDFACC3C">
      <w:start w:val="1"/>
      <w:numFmt w:val="lowerLetter"/>
      <w:lvlText w:val="%1)"/>
      <w:lvlJc w:val="left"/>
      <w:pPr>
        <w:ind w:left="720" w:hanging="360"/>
      </w:pPr>
      <w:rPr>
        <w:rFonts w:ascii="Arial" w:eastAsiaTheme="minorHAnsi" w:hAnsi="Arial"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1B56A1"/>
    <w:multiLevelType w:val="hybridMultilevel"/>
    <w:tmpl w:val="533C752E"/>
    <w:lvl w:ilvl="0" w:tplc="EF10E40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6C4D24CD"/>
    <w:multiLevelType w:val="hybridMultilevel"/>
    <w:tmpl w:val="FF9A4298"/>
    <w:lvl w:ilvl="0" w:tplc="1494B2C4">
      <w:start w:val="1"/>
      <w:numFmt w:val="bullet"/>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06489A"/>
    <w:multiLevelType w:val="hybridMultilevel"/>
    <w:tmpl w:val="E30E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620956"/>
    <w:multiLevelType w:val="hybridMultilevel"/>
    <w:tmpl w:val="7DA21584"/>
    <w:lvl w:ilvl="0" w:tplc="84F07012">
      <w:start w:val="1"/>
      <w:numFmt w:val="bullet"/>
      <w:lvlText w:val=""/>
      <w:lvlJc w:val="left"/>
      <w:pPr>
        <w:tabs>
          <w:tab w:val="num" w:pos="720"/>
        </w:tabs>
        <w:ind w:left="720" w:hanging="360"/>
      </w:pPr>
      <w:rPr>
        <w:rFonts w:ascii="Wingdings" w:hAnsi="Wingdings" w:hint="default"/>
      </w:rPr>
    </w:lvl>
    <w:lvl w:ilvl="1" w:tplc="CAA46926" w:tentative="1">
      <w:start w:val="1"/>
      <w:numFmt w:val="bullet"/>
      <w:lvlText w:val=""/>
      <w:lvlJc w:val="left"/>
      <w:pPr>
        <w:tabs>
          <w:tab w:val="num" w:pos="1440"/>
        </w:tabs>
        <w:ind w:left="1440" w:hanging="360"/>
      </w:pPr>
      <w:rPr>
        <w:rFonts w:ascii="Wingdings" w:hAnsi="Wingdings" w:hint="default"/>
      </w:rPr>
    </w:lvl>
    <w:lvl w:ilvl="2" w:tplc="454ABB0E" w:tentative="1">
      <w:start w:val="1"/>
      <w:numFmt w:val="bullet"/>
      <w:lvlText w:val=""/>
      <w:lvlJc w:val="left"/>
      <w:pPr>
        <w:tabs>
          <w:tab w:val="num" w:pos="2160"/>
        </w:tabs>
        <w:ind w:left="2160" w:hanging="360"/>
      </w:pPr>
      <w:rPr>
        <w:rFonts w:ascii="Wingdings" w:hAnsi="Wingdings" w:hint="default"/>
      </w:rPr>
    </w:lvl>
    <w:lvl w:ilvl="3" w:tplc="BBB0BF24" w:tentative="1">
      <w:start w:val="1"/>
      <w:numFmt w:val="bullet"/>
      <w:lvlText w:val=""/>
      <w:lvlJc w:val="left"/>
      <w:pPr>
        <w:tabs>
          <w:tab w:val="num" w:pos="2880"/>
        </w:tabs>
        <w:ind w:left="2880" w:hanging="360"/>
      </w:pPr>
      <w:rPr>
        <w:rFonts w:ascii="Wingdings" w:hAnsi="Wingdings" w:hint="default"/>
      </w:rPr>
    </w:lvl>
    <w:lvl w:ilvl="4" w:tplc="614C0908" w:tentative="1">
      <w:start w:val="1"/>
      <w:numFmt w:val="bullet"/>
      <w:lvlText w:val=""/>
      <w:lvlJc w:val="left"/>
      <w:pPr>
        <w:tabs>
          <w:tab w:val="num" w:pos="3600"/>
        </w:tabs>
        <w:ind w:left="3600" w:hanging="360"/>
      </w:pPr>
      <w:rPr>
        <w:rFonts w:ascii="Wingdings" w:hAnsi="Wingdings" w:hint="default"/>
      </w:rPr>
    </w:lvl>
    <w:lvl w:ilvl="5" w:tplc="F34C3A56" w:tentative="1">
      <w:start w:val="1"/>
      <w:numFmt w:val="bullet"/>
      <w:lvlText w:val=""/>
      <w:lvlJc w:val="left"/>
      <w:pPr>
        <w:tabs>
          <w:tab w:val="num" w:pos="4320"/>
        </w:tabs>
        <w:ind w:left="4320" w:hanging="360"/>
      </w:pPr>
      <w:rPr>
        <w:rFonts w:ascii="Wingdings" w:hAnsi="Wingdings" w:hint="default"/>
      </w:rPr>
    </w:lvl>
    <w:lvl w:ilvl="6" w:tplc="5AD88DA0" w:tentative="1">
      <w:start w:val="1"/>
      <w:numFmt w:val="bullet"/>
      <w:lvlText w:val=""/>
      <w:lvlJc w:val="left"/>
      <w:pPr>
        <w:tabs>
          <w:tab w:val="num" w:pos="5040"/>
        </w:tabs>
        <w:ind w:left="5040" w:hanging="360"/>
      </w:pPr>
      <w:rPr>
        <w:rFonts w:ascii="Wingdings" w:hAnsi="Wingdings" w:hint="default"/>
      </w:rPr>
    </w:lvl>
    <w:lvl w:ilvl="7" w:tplc="D972832A" w:tentative="1">
      <w:start w:val="1"/>
      <w:numFmt w:val="bullet"/>
      <w:lvlText w:val=""/>
      <w:lvlJc w:val="left"/>
      <w:pPr>
        <w:tabs>
          <w:tab w:val="num" w:pos="5760"/>
        </w:tabs>
        <w:ind w:left="5760" w:hanging="360"/>
      </w:pPr>
      <w:rPr>
        <w:rFonts w:ascii="Wingdings" w:hAnsi="Wingdings" w:hint="default"/>
      </w:rPr>
    </w:lvl>
    <w:lvl w:ilvl="8" w:tplc="875C4B92"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5"/>
  </w:num>
  <w:num w:numId="3">
    <w:abstractNumId w:val="19"/>
  </w:num>
  <w:num w:numId="4">
    <w:abstractNumId w:val="17"/>
  </w:num>
  <w:num w:numId="5">
    <w:abstractNumId w:val="12"/>
  </w:num>
  <w:num w:numId="6">
    <w:abstractNumId w:val="2"/>
  </w:num>
  <w:num w:numId="7">
    <w:abstractNumId w:val="10"/>
  </w:num>
  <w:num w:numId="8">
    <w:abstractNumId w:val="2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9"/>
  </w:num>
  <w:num w:numId="12">
    <w:abstractNumId w:val="1"/>
  </w:num>
  <w:num w:numId="13">
    <w:abstractNumId w:val="0"/>
  </w:num>
  <w:num w:numId="14">
    <w:abstractNumId w:val="27"/>
  </w:num>
  <w:num w:numId="15">
    <w:abstractNumId w:val="14"/>
  </w:num>
  <w:num w:numId="16">
    <w:abstractNumId w:val="5"/>
  </w:num>
  <w:num w:numId="17">
    <w:abstractNumId w:val="15"/>
  </w:num>
  <w:num w:numId="18">
    <w:abstractNumId w:val="3"/>
  </w:num>
  <w:num w:numId="19">
    <w:abstractNumId w:val="11"/>
  </w:num>
  <w:num w:numId="20">
    <w:abstractNumId w:val="6"/>
  </w:num>
  <w:num w:numId="21">
    <w:abstractNumId w:val="8"/>
  </w:num>
  <w:num w:numId="22">
    <w:abstractNumId w:val="20"/>
  </w:num>
  <w:num w:numId="23">
    <w:abstractNumId w:val="4"/>
  </w:num>
  <w:num w:numId="24">
    <w:abstractNumId w:val="26"/>
  </w:num>
  <w:num w:numId="25">
    <w:abstractNumId w:val="16"/>
  </w:num>
  <w:num w:numId="26">
    <w:abstractNumId w:val="7"/>
  </w:num>
  <w:num w:numId="27">
    <w:abstractNumId w:val="18"/>
  </w:num>
  <w:num w:numId="28">
    <w:abstractNumId w:val="22"/>
  </w:num>
  <w:num w:numId="29">
    <w:abstractNumId w:val="2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9EB"/>
    <w:rsid w:val="000044D6"/>
    <w:rsid w:val="000057D9"/>
    <w:rsid w:val="00006AC4"/>
    <w:rsid w:val="00011CD4"/>
    <w:rsid w:val="000127AF"/>
    <w:rsid w:val="000135A7"/>
    <w:rsid w:val="000213BD"/>
    <w:rsid w:val="00023264"/>
    <w:rsid w:val="000444E2"/>
    <w:rsid w:val="0004754C"/>
    <w:rsid w:val="000479EB"/>
    <w:rsid w:val="00047C07"/>
    <w:rsid w:val="000513FB"/>
    <w:rsid w:val="00056EC2"/>
    <w:rsid w:val="00061775"/>
    <w:rsid w:val="000718AD"/>
    <w:rsid w:val="00072173"/>
    <w:rsid w:val="000734A3"/>
    <w:rsid w:val="00074ED9"/>
    <w:rsid w:val="0007570B"/>
    <w:rsid w:val="000769E3"/>
    <w:rsid w:val="0008069B"/>
    <w:rsid w:val="00081524"/>
    <w:rsid w:val="00085EC5"/>
    <w:rsid w:val="000861EF"/>
    <w:rsid w:val="0009109D"/>
    <w:rsid w:val="0009235E"/>
    <w:rsid w:val="00093275"/>
    <w:rsid w:val="000944DD"/>
    <w:rsid w:val="000946BF"/>
    <w:rsid w:val="0009546B"/>
    <w:rsid w:val="000A36E6"/>
    <w:rsid w:val="000B1000"/>
    <w:rsid w:val="000B4F34"/>
    <w:rsid w:val="000B7489"/>
    <w:rsid w:val="000C1E14"/>
    <w:rsid w:val="000C28A6"/>
    <w:rsid w:val="000C2B9B"/>
    <w:rsid w:val="000D0687"/>
    <w:rsid w:val="000D3E77"/>
    <w:rsid w:val="000D6F46"/>
    <w:rsid w:val="000D70AD"/>
    <w:rsid w:val="000E0EB7"/>
    <w:rsid w:val="000E2A8A"/>
    <w:rsid w:val="000E7821"/>
    <w:rsid w:val="000F39F3"/>
    <w:rsid w:val="000F5598"/>
    <w:rsid w:val="000F6BFE"/>
    <w:rsid w:val="00100B68"/>
    <w:rsid w:val="00104D21"/>
    <w:rsid w:val="00107F76"/>
    <w:rsid w:val="0011006F"/>
    <w:rsid w:val="001134EA"/>
    <w:rsid w:val="00116925"/>
    <w:rsid w:val="001301B8"/>
    <w:rsid w:val="00130BE9"/>
    <w:rsid w:val="001340C0"/>
    <w:rsid w:val="00136C71"/>
    <w:rsid w:val="00140219"/>
    <w:rsid w:val="001405F1"/>
    <w:rsid w:val="00141A77"/>
    <w:rsid w:val="0015123A"/>
    <w:rsid w:val="00153BE8"/>
    <w:rsid w:val="001540A3"/>
    <w:rsid w:val="00157A28"/>
    <w:rsid w:val="00163735"/>
    <w:rsid w:val="0016473E"/>
    <w:rsid w:val="00164F02"/>
    <w:rsid w:val="001652BB"/>
    <w:rsid w:val="00177FA2"/>
    <w:rsid w:val="0018000C"/>
    <w:rsid w:val="00180F32"/>
    <w:rsid w:val="00184A79"/>
    <w:rsid w:val="00185834"/>
    <w:rsid w:val="0018621D"/>
    <w:rsid w:val="00186E2C"/>
    <w:rsid w:val="00192E45"/>
    <w:rsid w:val="00196700"/>
    <w:rsid w:val="001A1269"/>
    <w:rsid w:val="001B006F"/>
    <w:rsid w:val="001B29F1"/>
    <w:rsid w:val="001B7042"/>
    <w:rsid w:val="001C1AFF"/>
    <w:rsid w:val="001C55F0"/>
    <w:rsid w:val="001C6148"/>
    <w:rsid w:val="001C742F"/>
    <w:rsid w:val="001D28F2"/>
    <w:rsid w:val="001D7D55"/>
    <w:rsid w:val="001E16CA"/>
    <w:rsid w:val="001E36D7"/>
    <w:rsid w:val="001E53AF"/>
    <w:rsid w:val="001E614E"/>
    <w:rsid w:val="001E625C"/>
    <w:rsid w:val="001F2CB4"/>
    <w:rsid w:val="001F3F05"/>
    <w:rsid w:val="001F4564"/>
    <w:rsid w:val="00200549"/>
    <w:rsid w:val="0020137A"/>
    <w:rsid w:val="00203187"/>
    <w:rsid w:val="00204936"/>
    <w:rsid w:val="0020663C"/>
    <w:rsid w:val="00207FA1"/>
    <w:rsid w:val="002123FC"/>
    <w:rsid w:val="00212487"/>
    <w:rsid w:val="00213792"/>
    <w:rsid w:val="00216D8F"/>
    <w:rsid w:val="002179DF"/>
    <w:rsid w:val="00217E35"/>
    <w:rsid w:val="00230D65"/>
    <w:rsid w:val="002340D7"/>
    <w:rsid w:val="00235A49"/>
    <w:rsid w:val="0023679F"/>
    <w:rsid w:val="002405B0"/>
    <w:rsid w:val="00244CD8"/>
    <w:rsid w:val="002462D6"/>
    <w:rsid w:val="00246835"/>
    <w:rsid w:val="00247AC5"/>
    <w:rsid w:val="0025235F"/>
    <w:rsid w:val="00253682"/>
    <w:rsid w:val="00253DF0"/>
    <w:rsid w:val="0025787D"/>
    <w:rsid w:val="00261254"/>
    <w:rsid w:val="002635E2"/>
    <w:rsid w:val="002659F5"/>
    <w:rsid w:val="00267437"/>
    <w:rsid w:val="00267A09"/>
    <w:rsid w:val="00270280"/>
    <w:rsid w:val="00271D42"/>
    <w:rsid w:val="00275C12"/>
    <w:rsid w:val="00280C35"/>
    <w:rsid w:val="00281485"/>
    <w:rsid w:val="00287680"/>
    <w:rsid w:val="0029162B"/>
    <w:rsid w:val="00292EAF"/>
    <w:rsid w:val="00293605"/>
    <w:rsid w:val="00294A1C"/>
    <w:rsid w:val="00295C18"/>
    <w:rsid w:val="00297058"/>
    <w:rsid w:val="002978F0"/>
    <w:rsid w:val="002A0075"/>
    <w:rsid w:val="002A03A5"/>
    <w:rsid w:val="002A1907"/>
    <w:rsid w:val="002A74E4"/>
    <w:rsid w:val="002A7BB6"/>
    <w:rsid w:val="002B10D1"/>
    <w:rsid w:val="002B2D96"/>
    <w:rsid w:val="002B4A1B"/>
    <w:rsid w:val="002C0567"/>
    <w:rsid w:val="002C1AF8"/>
    <w:rsid w:val="002C461A"/>
    <w:rsid w:val="002C596E"/>
    <w:rsid w:val="002C7923"/>
    <w:rsid w:val="002D1C9F"/>
    <w:rsid w:val="002D753A"/>
    <w:rsid w:val="002E29FA"/>
    <w:rsid w:val="002E3BAC"/>
    <w:rsid w:val="002E69D5"/>
    <w:rsid w:val="002F1CED"/>
    <w:rsid w:val="002F221B"/>
    <w:rsid w:val="002F5234"/>
    <w:rsid w:val="002F6D1C"/>
    <w:rsid w:val="00300432"/>
    <w:rsid w:val="00302774"/>
    <w:rsid w:val="00305C90"/>
    <w:rsid w:val="0030774B"/>
    <w:rsid w:val="00311B7C"/>
    <w:rsid w:val="00312A65"/>
    <w:rsid w:val="003133C6"/>
    <w:rsid w:val="00314E20"/>
    <w:rsid w:val="00314FFC"/>
    <w:rsid w:val="00323C69"/>
    <w:rsid w:val="00327CCD"/>
    <w:rsid w:val="00331040"/>
    <w:rsid w:val="003348AF"/>
    <w:rsid w:val="00335148"/>
    <w:rsid w:val="00336F84"/>
    <w:rsid w:val="00341587"/>
    <w:rsid w:val="00343CF9"/>
    <w:rsid w:val="00344864"/>
    <w:rsid w:val="0034572E"/>
    <w:rsid w:val="00352A5F"/>
    <w:rsid w:val="00352B40"/>
    <w:rsid w:val="00353007"/>
    <w:rsid w:val="00353403"/>
    <w:rsid w:val="00364A91"/>
    <w:rsid w:val="003651C1"/>
    <w:rsid w:val="003714DD"/>
    <w:rsid w:val="00373C04"/>
    <w:rsid w:val="00380035"/>
    <w:rsid w:val="00381695"/>
    <w:rsid w:val="00382899"/>
    <w:rsid w:val="00383183"/>
    <w:rsid w:val="00387193"/>
    <w:rsid w:val="0039308E"/>
    <w:rsid w:val="003A45B8"/>
    <w:rsid w:val="003A5AB8"/>
    <w:rsid w:val="003B38DE"/>
    <w:rsid w:val="003B4721"/>
    <w:rsid w:val="003C02EA"/>
    <w:rsid w:val="003C1575"/>
    <w:rsid w:val="003C250E"/>
    <w:rsid w:val="003D76B5"/>
    <w:rsid w:val="003D7B5A"/>
    <w:rsid w:val="003D7BCB"/>
    <w:rsid w:val="003E20F7"/>
    <w:rsid w:val="003E2892"/>
    <w:rsid w:val="003F44E9"/>
    <w:rsid w:val="003F4693"/>
    <w:rsid w:val="003F5181"/>
    <w:rsid w:val="00404B49"/>
    <w:rsid w:val="00405B25"/>
    <w:rsid w:val="00407C98"/>
    <w:rsid w:val="0041000F"/>
    <w:rsid w:val="00411307"/>
    <w:rsid w:val="00414948"/>
    <w:rsid w:val="004166EF"/>
    <w:rsid w:val="00416F6C"/>
    <w:rsid w:val="00420357"/>
    <w:rsid w:val="00425A49"/>
    <w:rsid w:val="00431DA3"/>
    <w:rsid w:val="00432C66"/>
    <w:rsid w:val="0043621F"/>
    <w:rsid w:val="0044037B"/>
    <w:rsid w:val="0044292A"/>
    <w:rsid w:val="00443687"/>
    <w:rsid w:val="00445A26"/>
    <w:rsid w:val="00446D87"/>
    <w:rsid w:val="00446DBB"/>
    <w:rsid w:val="00454792"/>
    <w:rsid w:val="004564EA"/>
    <w:rsid w:val="00456A7C"/>
    <w:rsid w:val="004575CE"/>
    <w:rsid w:val="0046081C"/>
    <w:rsid w:val="00463DE6"/>
    <w:rsid w:val="00466A30"/>
    <w:rsid w:val="00466BE2"/>
    <w:rsid w:val="00471119"/>
    <w:rsid w:val="00471760"/>
    <w:rsid w:val="00473140"/>
    <w:rsid w:val="00473BE5"/>
    <w:rsid w:val="00474768"/>
    <w:rsid w:val="0047480A"/>
    <w:rsid w:val="00474AFD"/>
    <w:rsid w:val="00475F79"/>
    <w:rsid w:val="00480F48"/>
    <w:rsid w:val="00492915"/>
    <w:rsid w:val="004A43A7"/>
    <w:rsid w:val="004A545D"/>
    <w:rsid w:val="004A5B54"/>
    <w:rsid w:val="004B50AC"/>
    <w:rsid w:val="004B5278"/>
    <w:rsid w:val="004C3EC9"/>
    <w:rsid w:val="004D5B7E"/>
    <w:rsid w:val="004D7DC7"/>
    <w:rsid w:val="004E1599"/>
    <w:rsid w:val="004E38B9"/>
    <w:rsid w:val="004E4D02"/>
    <w:rsid w:val="004E7FF9"/>
    <w:rsid w:val="004F7449"/>
    <w:rsid w:val="004F7806"/>
    <w:rsid w:val="004F7F25"/>
    <w:rsid w:val="00500256"/>
    <w:rsid w:val="00502B54"/>
    <w:rsid w:val="00505019"/>
    <w:rsid w:val="005059A3"/>
    <w:rsid w:val="00511950"/>
    <w:rsid w:val="00512635"/>
    <w:rsid w:val="00517CC7"/>
    <w:rsid w:val="00521E68"/>
    <w:rsid w:val="00521FCE"/>
    <w:rsid w:val="0052433A"/>
    <w:rsid w:val="0052517A"/>
    <w:rsid w:val="00526475"/>
    <w:rsid w:val="00531BDE"/>
    <w:rsid w:val="00534D5E"/>
    <w:rsid w:val="00536910"/>
    <w:rsid w:val="005425CB"/>
    <w:rsid w:val="0054332E"/>
    <w:rsid w:val="00543885"/>
    <w:rsid w:val="00544E4B"/>
    <w:rsid w:val="005472BD"/>
    <w:rsid w:val="00551677"/>
    <w:rsid w:val="0055593F"/>
    <w:rsid w:val="00556D06"/>
    <w:rsid w:val="005575F4"/>
    <w:rsid w:val="00560669"/>
    <w:rsid w:val="00561622"/>
    <w:rsid w:val="00561837"/>
    <w:rsid w:val="00563502"/>
    <w:rsid w:val="00563F82"/>
    <w:rsid w:val="00564C7A"/>
    <w:rsid w:val="0057076F"/>
    <w:rsid w:val="00582B38"/>
    <w:rsid w:val="00583103"/>
    <w:rsid w:val="00583AAB"/>
    <w:rsid w:val="005903BE"/>
    <w:rsid w:val="005940AB"/>
    <w:rsid w:val="00594ABD"/>
    <w:rsid w:val="005B4291"/>
    <w:rsid w:val="005B4C12"/>
    <w:rsid w:val="005B6CAB"/>
    <w:rsid w:val="005C28F7"/>
    <w:rsid w:val="005C4CE0"/>
    <w:rsid w:val="005C4F6E"/>
    <w:rsid w:val="005D05FD"/>
    <w:rsid w:val="005D2757"/>
    <w:rsid w:val="005D2AD9"/>
    <w:rsid w:val="005D3D5E"/>
    <w:rsid w:val="005D72AA"/>
    <w:rsid w:val="005E3319"/>
    <w:rsid w:val="005E3593"/>
    <w:rsid w:val="005E3CD9"/>
    <w:rsid w:val="005F36CD"/>
    <w:rsid w:val="005F3EC4"/>
    <w:rsid w:val="005F4088"/>
    <w:rsid w:val="0060317C"/>
    <w:rsid w:val="00606B78"/>
    <w:rsid w:val="00607674"/>
    <w:rsid w:val="0061397A"/>
    <w:rsid w:val="00613C1A"/>
    <w:rsid w:val="00614751"/>
    <w:rsid w:val="00616A61"/>
    <w:rsid w:val="006208C1"/>
    <w:rsid w:val="00623DB9"/>
    <w:rsid w:val="00630E96"/>
    <w:rsid w:val="00634F82"/>
    <w:rsid w:val="00637D94"/>
    <w:rsid w:val="00640E5A"/>
    <w:rsid w:val="00645531"/>
    <w:rsid w:val="00647C1C"/>
    <w:rsid w:val="00647CBA"/>
    <w:rsid w:val="00650EF2"/>
    <w:rsid w:val="00654EB9"/>
    <w:rsid w:val="00657F38"/>
    <w:rsid w:val="00664D27"/>
    <w:rsid w:val="00670226"/>
    <w:rsid w:val="00670B2D"/>
    <w:rsid w:val="00671AAD"/>
    <w:rsid w:val="0067257D"/>
    <w:rsid w:val="0067386B"/>
    <w:rsid w:val="006750E7"/>
    <w:rsid w:val="006778A6"/>
    <w:rsid w:val="006779EA"/>
    <w:rsid w:val="0068050F"/>
    <w:rsid w:val="006847F5"/>
    <w:rsid w:val="006855BB"/>
    <w:rsid w:val="00687878"/>
    <w:rsid w:val="00691D84"/>
    <w:rsid w:val="00692630"/>
    <w:rsid w:val="0069477E"/>
    <w:rsid w:val="00695514"/>
    <w:rsid w:val="006964C8"/>
    <w:rsid w:val="006A7074"/>
    <w:rsid w:val="006A7D19"/>
    <w:rsid w:val="006B0C89"/>
    <w:rsid w:val="006B2769"/>
    <w:rsid w:val="006B2C43"/>
    <w:rsid w:val="006C6384"/>
    <w:rsid w:val="006D012C"/>
    <w:rsid w:val="006D062B"/>
    <w:rsid w:val="006D1981"/>
    <w:rsid w:val="006D2E5E"/>
    <w:rsid w:val="006D7C00"/>
    <w:rsid w:val="006E6DDA"/>
    <w:rsid w:val="006F66B8"/>
    <w:rsid w:val="007021CE"/>
    <w:rsid w:val="007079D4"/>
    <w:rsid w:val="00707E5E"/>
    <w:rsid w:val="007101EF"/>
    <w:rsid w:val="007108A7"/>
    <w:rsid w:val="007178A1"/>
    <w:rsid w:val="007213D7"/>
    <w:rsid w:val="00723770"/>
    <w:rsid w:val="00731DBA"/>
    <w:rsid w:val="0073299E"/>
    <w:rsid w:val="0073436B"/>
    <w:rsid w:val="00740ACF"/>
    <w:rsid w:val="007415A5"/>
    <w:rsid w:val="007421FD"/>
    <w:rsid w:val="00742A7D"/>
    <w:rsid w:val="00743BBF"/>
    <w:rsid w:val="0074492C"/>
    <w:rsid w:val="007457BD"/>
    <w:rsid w:val="00745821"/>
    <w:rsid w:val="0074753B"/>
    <w:rsid w:val="00752A1B"/>
    <w:rsid w:val="00753063"/>
    <w:rsid w:val="00754D9C"/>
    <w:rsid w:val="00755645"/>
    <w:rsid w:val="00757D47"/>
    <w:rsid w:val="0076053A"/>
    <w:rsid w:val="00760FFB"/>
    <w:rsid w:val="0076412D"/>
    <w:rsid w:val="007646CA"/>
    <w:rsid w:val="007646FB"/>
    <w:rsid w:val="0076543B"/>
    <w:rsid w:val="00770922"/>
    <w:rsid w:val="00772F93"/>
    <w:rsid w:val="00774095"/>
    <w:rsid w:val="00776A6F"/>
    <w:rsid w:val="007870C9"/>
    <w:rsid w:val="007876AB"/>
    <w:rsid w:val="0079293E"/>
    <w:rsid w:val="007A057A"/>
    <w:rsid w:val="007A4698"/>
    <w:rsid w:val="007B59CE"/>
    <w:rsid w:val="007B70FA"/>
    <w:rsid w:val="007C4397"/>
    <w:rsid w:val="007C4BD6"/>
    <w:rsid w:val="007C54E6"/>
    <w:rsid w:val="007D0264"/>
    <w:rsid w:val="007D2DF0"/>
    <w:rsid w:val="007E379D"/>
    <w:rsid w:val="007E44F9"/>
    <w:rsid w:val="007E4DCB"/>
    <w:rsid w:val="007E6655"/>
    <w:rsid w:val="007E7335"/>
    <w:rsid w:val="007E7AA8"/>
    <w:rsid w:val="007F1B48"/>
    <w:rsid w:val="007F1E8D"/>
    <w:rsid w:val="007F27DB"/>
    <w:rsid w:val="007F3129"/>
    <w:rsid w:val="00806811"/>
    <w:rsid w:val="00807705"/>
    <w:rsid w:val="00814FF7"/>
    <w:rsid w:val="0081719C"/>
    <w:rsid w:val="00820442"/>
    <w:rsid w:val="00821A7C"/>
    <w:rsid w:val="00821D5F"/>
    <w:rsid w:val="00822E71"/>
    <w:rsid w:val="00823D16"/>
    <w:rsid w:val="0083068F"/>
    <w:rsid w:val="00834EB5"/>
    <w:rsid w:val="0083503C"/>
    <w:rsid w:val="00852A7B"/>
    <w:rsid w:val="008534BC"/>
    <w:rsid w:val="00855A90"/>
    <w:rsid w:val="00860308"/>
    <w:rsid w:val="0086208E"/>
    <w:rsid w:val="008644D8"/>
    <w:rsid w:val="00871D53"/>
    <w:rsid w:val="00874D84"/>
    <w:rsid w:val="00875927"/>
    <w:rsid w:val="00876DDE"/>
    <w:rsid w:val="008850AE"/>
    <w:rsid w:val="00886047"/>
    <w:rsid w:val="00886DCB"/>
    <w:rsid w:val="00892892"/>
    <w:rsid w:val="00892AA1"/>
    <w:rsid w:val="00895B4F"/>
    <w:rsid w:val="008A132B"/>
    <w:rsid w:val="008A222D"/>
    <w:rsid w:val="008A2CE7"/>
    <w:rsid w:val="008A34C3"/>
    <w:rsid w:val="008A65FA"/>
    <w:rsid w:val="008A6EB8"/>
    <w:rsid w:val="008B294E"/>
    <w:rsid w:val="008B522D"/>
    <w:rsid w:val="008B5C99"/>
    <w:rsid w:val="008B6448"/>
    <w:rsid w:val="008C16BA"/>
    <w:rsid w:val="008C2BD2"/>
    <w:rsid w:val="008C3A82"/>
    <w:rsid w:val="008D67F0"/>
    <w:rsid w:val="008D7B10"/>
    <w:rsid w:val="008E3624"/>
    <w:rsid w:val="008E5F36"/>
    <w:rsid w:val="008E7531"/>
    <w:rsid w:val="008F044C"/>
    <w:rsid w:val="008F2666"/>
    <w:rsid w:val="008F7DCC"/>
    <w:rsid w:val="00901172"/>
    <w:rsid w:val="0090197F"/>
    <w:rsid w:val="00901C0A"/>
    <w:rsid w:val="00905606"/>
    <w:rsid w:val="00906350"/>
    <w:rsid w:val="00906F2B"/>
    <w:rsid w:val="00925367"/>
    <w:rsid w:val="00931820"/>
    <w:rsid w:val="00935099"/>
    <w:rsid w:val="00952B80"/>
    <w:rsid w:val="0095511D"/>
    <w:rsid w:val="00955F29"/>
    <w:rsid w:val="00957F9A"/>
    <w:rsid w:val="0096581B"/>
    <w:rsid w:val="00967FEE"/>
    <w:rsid w:val="00973C59"/>
    <w:rsid w:val="00975173"/>
    <w:rsid w:val="0098062D"/>
    <w:rsid w:val="00986051"/>
    <w:rsid w:val="00993858"/>
    <w:rsid w:val="00993C9D"/>
    <w:rsid w:val="0099416A"/>
    <w:rsid w:val="0099570E"/>
    <w:rsid w:val="009A030F"/>
    <w:rsid w:val="009A0850"/>
    <w:rsid w:val="009A11CF"/>
    <w:rsid w:val="009A4C86"/>
    <w:rsid w:val="009A4D8B"/>
    <w:rsid w:val="009A63BB"/>
    <w:rsid w:val="009B2274"/>
    <w:rsid w:val="009B50CD"/>
    <w:rsid w:val="009C0E8D"/>
    <w:rsid w:val="009C14A3"/>
    <w:rsid w:val="009C5D2B"/>
    <w:rsid w:val="009C69BD"/>
    <w:rsid w:val="009D2BBC"/>
    <w:rsid w:val="009E1C87"/>
    <w:rsid w:val="009E4BEA"/>
    <w:rsid w:val="009F3F51"/>
    <w:rsid w:val="009F49E0"/>
    <w:rsid w:val="009F4DF9"/>
    <w:rsid w:val="00A001FE"/>
    <w:rsid w:val="00A0520D"/>
    <w:rsid w:val="00A114BA"/>
    <w:rsid w:val="00A11FFD"/>
    <w:rsid w:val="00A12657"/>
    <w:rsid w:val="00A14513"/>
    <w:rsid w:val="00A22785"/>
    <w:rsid w:val="00A231A1"/>
    <w:rsid w:val="00A23F61"/>
    <w:rsid w:val="00A24383"/>
    <w:rsid w:val="00A3078A"/>
    <w:rsid w:val="00A31654"/>
    <w:rsid w:val="00A32EE1"/>
    <w:rsid w:val="00A33B81"/>
    <w:rsid w:val="00A36A0A"/>
    <w:rsid w:val="00A4003A"/>
    <w:rsid w:val="00A426F2"/>
    <w:rsid w:val="00A4272B"/>
    <w:rsid w:val="00A44C2D"/>
    <w:rsid w:val="00A46A62"/>
    <w:rsid w:val="00A46B57"/>
    <w:rsid w:val="00A52D5D"/>
    <w:rsid w:val="00A556A6"/>
    <w:rsid w:val="00A57411"/>
    <w:rsid w:val="00A57C40"/>
    <w:rsid w:val="00A60FC7"/>
    <w:rsid w:val="00A61587"/>
    <w:rsid w:val="00A62BDC"/>
    <w:rsid w:val="00A65AEC"/>
    <w:rsid w:val="00A67AD6"/>
    <w:rsid w:val="00A67F06"/>
    <w:rsid w:val="00A71EA5"/>
    <w:rsid w:val="00A73298"/>
    <w:rsid w:val="00A7386A"/>
    <w:rsid w:val="00A74686"/>
    <w:rsid w:val="00A76D1B"/>
    <w:rsid w:val="00A81434"/>
    <w:rsid w:val="00A8291E"/>
    <w:rsid w:val="00A83FA3"/>
    <w:rsid w:val="00A8492F"/>
    <w:rsid w:val="00A90013"/>
    <w:rsid w:val="00A90D7C"/>
    <w:rsid w:val="00A972E6"/>
    <w:rsid w:val="00AA056A"/>
    <w:rsid w:val="00AA1C8D"/>
    <w:rsid w:val="00AA5EE7"/>
    <w:rsid w:val="00AA6C13"/>
    <w:rsid w:val="00AA6E43"/>
    <w:rsid w:val="00AB0142"/>
    <w:rsid w:val="00AB121E"/>
    <w:rsid w:val="00AB1544"/>
    <w:rsid w:val="00AB39F7"/>
    <w:rsid w:val="00AB4B08"/>
    <w:rsid w:val="00AB68FD"/>
    <w:rsid w:val="00AC09A3"/>
    <w:rsid w:val="00AC5841"/>
    <w:rsid w:val="00AC6344"/>
    <w:rsid w:val="00AC6E79"/>
    <w:rsid w:val="00AC7F3B"/>
    <w:rsid w:val="00AD079F"/>
    <w:rsid w:val="00AD0F72"/>
    <w:rsid w:val="00AD26C7"/>
    <w:rsid w:val="00AD36A1"/>
    <w:rsid w:val="00AD6606"/>
    <w:rsid w:val="00AD68F6"/>
    <w:rsid w:val="00AE040B"/>
    <w:rsid w:val="00AE066D"/>
    <w:rsid w:val="00AE3499"/>
    <w:rsid w:val="00AE3C64"/>
    <w:rsid w:val="00AE4929"/>
    <w:rsid w:val="00AF2F5D"/>
    <w:rsid w:val="00AF4624"/>
    <w:rsid w:val="00AF7695"/>
    <w:rsid w:val="00B06D10"/>
    <w:rsid w:val="00B10181"/>
    <w:rsid w:val="00B10E67"/>
    <w:rsid w:val="00B1124E"/>
    <w:rsid w:val="00B13D76"/>
    <w:rsid w:val="00B148B4"/>
    <w:rsid w:val="00B171C3"/>
    <w:rsid w:val="00B222BB"/>
    <w:rsid w:val="00B2743B"/>
    <w:rsid w:val="00B31490"/>
    <w:rsid w:val="00B334FE"/>
    <w:rsid w:val="00B42E10"/>
    <w:rsid w:val="00B511C6"/>
    <w:rsid w:val="00B539CB"/>
    <w:rsid w:val="00B54A24"/>
    <w:rsid w:val="00B558A4"/>
    <w:rsid w:val="00B56E08"/>
    <w:rsid w:val="00B61E15"/>
    <w:rsid w:val="00B62158"/>
    <w:rsid w:val="00B6412B"/>
    <w:rsid w:val="00B64FAF"/>
    <w:rsid w:val="00B71DF0"/>
    <w:rsid w:val="00B73E54"/>
    <w:rsid w:val="00B74186"/>
    <w:rsid w:val="00B75CAC"/>
    <w:rsid w:val="00B76414"/>
    <w:rsid w:val="00B82908"/>
    <w:rsid w:val="00B86A75"/>
    <w:rsid w:val="00B87009"/>
    <w:rsid w:val="00B91616"/>
    <w:rsid w:val="00B93C07"/>
    <w:rsid w:val="00B94899"/>
    <w:rsid w:val="00B9661C"/>
    <w:rsid w:val="00BA4F95"/>
    <w:rsid w:val="00BA5287"/>
    <w:rsid w:val="00BA6465"/>
    <w:rsid w:val="00BB337D"/>
    <w:rsid w:val="00BC037B"/>
    <w:rsid w:val="00BC04EB"/>
    <w:rsid w:val="00BC0A93"/>
    <w:rsid w:val="00BC77B1"/>
    <w:rsid w:val="00BC77C1"/>
    <w:rsid w:val="00BC7DAD"/>
    <w:rsid w:val="00BD151D"/>
    <w:rsid w:val="00BD33EE"/>
    <w:rsid w:val="00BD45E1"/>
    <w:rsid w:val="00BD5C73"/>
    <w:rsid w:val="00BD69C2"/>
    <w:rsid w:val="00BE20AA"/>
    <w:rsid w:val="00BE4946"/>
    <w:rsid w:val="00BE656F"/>
    <w:rsid w:val="00BF057C"/>
    <w:rsid w:val="00BF05DA"/>
    <w:rsid w:val="00BF15DC"/>
    <w:rsid w:val="00BF1CFE"/>
    <w:rsid w:val="00BF27AC"/>
    <w:rsid w:val="00BF3C96"/>
    <w:rsid w:val="00BF7923"/>
    <w:rsid w:val="00C04836"/>
    <w:rsid w:val="00C10FD4"/>
    <w:rsid w:val="00C141AC"/>
    <w:rsid w:val="00C146AA"/>
    <w:rsid w:val="00C1486A"/>
    <w:rsid w:val="00C157BE"/>
    <w:rsid w:val="00C32023"/>
    <w:rsid w:val="00C331C1"/>
    <w:rsid w:val="00C3536D"/>
    <w:rsid w:val="00C366D0"/>
    <w:rsid w:val="00C36AEB"/>
    <w:rsid w:val="00C36C26"/>
    <w:rsid w:val="00C45A29"/>
    <w:rsid w:val="00C55F08"/>
    <w:rsid w:val="00C561F1"/>
    <w:rsid w:val="00C5707E"/>
    <w:rsid w:val="00C6077A"/>
    <w:rsid w:val="00C6149C"/>
    <w:rsid w:val="00C63FEE"/>
    <w:rsid w:val="00C664C3"/>
    <w:rsid w:val="00C72901"/>
    <w:rsid w:val="00C75C5C"/>
    <w:rsid w:val="00C75D8A"/>
    <w:rsid w:val="00C77767"/>
    <w:rsid w:val="00C81064"/>
    <w:rsid w:val="00C84F3A"/>
    <w:rsid w:val="00C856E7"/>
    <w:rsid w:val="00C907DB"/>
    <w:rsid w:val="00C90E64"/>
    <w:rsid w:val="00C91B1F"/>
    <w:rsid w:val="00C91F15"/>
    <w:rsid w:val="00C92396"/>
    <w:rsid w:val="00C934AC"/>
    <w:rsid w:val="00C9415F"/>
    <w:rsid w:val="00CA29BA"/>
    <w:rsid w:val="00CB093A"/>
    <w:rsid w:val="00CB16FA"/>
    <w:rsid w:val="00CB19B9"/>
    <w:rsid w:val="00CB4860"/>
    <w:rsid w:val="00CB7C65"/>
    <w:rsid w:val="00CC0450"/>
    <w:rsid w:val="00CC26F2"/>
    <w:rsid w:val="00CC3355"/>
    <w:rsid w:val="00CC38D2"/>
    <w:rsid w:val="00CC3EB2"/>
    <w:rsid w:val="00CC4094"/>
    <w:rsid w:val="00CC51DF"/>
    <w:rsid w:val="00CD0379"/>
    <w:rsid w:val="00CD68BF"/>
    <w:rsid w:val="00CE24A0"/>
    <w:rsid w:val="00CE62EF"/>
    <w:rsid w:val="00CF0F1A"/>
    <w:rsid w:val="00CF403D"/>
    <w:rsid w:val="00CF413A"/>
    <w:rsid w:val="00CF75C9"/>
    <w:rsid w:val="00D0157B"/>
    <w:rsid w:val="00D01D7C"/>
    <w:rsid w:val="00D021C0"/>
    <w:rsid w:val="00D04C58"/>
    <w:rsid w:val="00D064AA"/>
    <w:rsid w:val="00D1013A"/>
    <w:rsid w:val="00D1141B"/>
    <w:rsid w:val="00D13D1A"/>
    <w:rsid w:val="00D20B15"/>
    <w:rsid w:val="00D225B0"/>
    <w:rsid w:val="00D24D48"/>
    <w:rsid w:val="00D24E48"/>
    <w:rsid w:val="00D25FFB"/>
    <w:rsid w:val="00D3249C"/>
    <w:rsid w:val="00D46FAB"/>
    <w:rsid w:val="00D47B6A"/>
    <w:rsid w:val="00D52B64"/>
    <w:rsid w:val="00D60611"/>
    <w:rsid w:val="00D6239B"/>
    <w:rsid w:val="00D63900"/>
    <w:rsid w:val="00D63D89"/>
    <w:rsid w:val="00D65C7C"/>
    <w:rsid w:val="00D67B06"/>
    <w:rsid w:val="00D73924"/>
    <w:rsid w:val="00D75E35"/>
    <w:rsid w:val="00D76585"/>
    <w:rsid w:val="00D82952"/>
    <w:rsid w:val="00D8399D"/>
    <w:rsid w:val="00D8533A"/>
    <w:rsid w:val="00D90E48"/>
    <w:rsid w:val="00D9356B"/>
    <w:rsid w:val="00D9690A"/>
    <w:rsid w:val="00D97232"/>
    <w:rsid w:val="00DA0DCD"/>
    <w:rsid w:val="00DA12B9"/>
    <w:rsid w:val="00DA681A"/>
    <w:rsid w:val="00DB1E32"/>
    <w:rsid w:val="00DB590A"/>
    <w:rsid w:val="00DB5CED"/>
    <w:rsid w:val="00DB71DF"/>
    <w:rsid w:val="00DC0179"/>
    <w:rsid w:val="00DC281C"/>
    <w:rsid w:val="00DC3E6F"/>
    <w:rsid w:val="00DD212B"/>
    <w:rsid w:val="00DD59F9"/>
    <w:rsid w:val="00DD7183"/>
    <w:rsid w:val="00DD7D8D"/>
    <w:rsid w:val="00DE1567"/>
    <w:rsid w:val="00DE3EEE"/>
    <w:rsid w:val="00DE552B"/>
    <w:rsid w:val="00DE5B47"/>
    <w:rsid w:val="00DE6F4C"/>
    <w:rsid w:val="00DF28B8"/>
    <w:rsid w:val="00DF5A02"/>
    <w:rsid w:val="00DF72B7"/>
    <w:rsid w:val="00DF797F"/>
    <w:rsid w:val="00E004F2"/>
    <w:rsid w:val="00E023EB"/>
    <w:rsid w:val="00E02E6F"/>
    <w:rsid w:val="00E03804"/>
    <w:rsid w:val="00E03B56"/>
    <w:rsid w:val="00E04431"/>
    <w:rsid w:val="00E0568B"/>
    <w:rsid w:val="00E10FF0"/>
    <w:rsid w:val="00E1633A"/>
    <w:rsid w:val="00E175D1"/>
    <w:rsid w:val="00E20BCE"/>
    <w:rsid w:val="00E258A8"/>
    <w:rsid w:val="00E271E1"/>
    <w:rsid w:val="00E31325"/>
    <w:rsid w:val="00E34A58"/>
    <w:rsid w:val="00E4256C"/>
    <w:rsid w:val="00E43A0C"/>
    <w:rsid w:val="00E46524"/>
    <w:rsid w:val="00E47667"/>
    <w:rsid w:val="00E47CE9"/>
    <w:rsid w:val="00E6441E"/>
    <w:rsid w:val="00E64F78"/>
    <w:rsid w:val="00E653A8"/>
    <w:rsid w:val="00E66510"/>
    <w:rsid w:val="00E71C5F"/>
    <w:rsid w:val="00E735DA"/>
    <w:rsid w:val="00E740AB"/>
    <w:rsid w:val="00E80323"/>
    <w:rsid w:val="00E81AAF"/>
    <w:rsid w:val="00E81B6B"/>
    <w:rsid w:val="00E85DF3"/>
    <w:rsid w:val="00E87466"/>
    <w:rsid w:val="00E90B35"/>
    <w:rsid w:val="00E9144C"/>
    <w:rsid w:val="00E977FF"/>
    <w:rsid w:val="00EA5BD9"/>
    <w:rsid w:val="00EA5D94"/>
    <w:rsid w:val="00EA6537"/>
    <w:rsid w:val="00EB2A92"/>
    <w:rsid w:val="00EC2E47"/>
    <w:rsid w:val="00EC3D28"/>
    <w:rsid w:val="00ED1E49"/>
    <w:rsid w:val="00ED565A"/>
    <w:rsid w:val="00ED7025"/>
    <w:rsid w:val="00ED7C54"/>
    <w:rsid w:val="00EE19AB"/>
    <w:rsid w:val="00EE6F08"/>
    <w:rsid w:val="00EF19E0"/>
    <w:rsid w:val="00EF3B28"/>
    <w:rsid w:val="00F009DE"/>
    <w:rsid w:val="00F02ED3"/>
    <w:rsid w:val="00F04D1C"/>
    <w:rsid w:val="00F051A4"/>
    <w:rsid w:val="00F1469A"/>
    <w:rsid w:val="00F179A5"/>
    <w:rsid w:val="00F2217C"/>
    <w:rsid w:val="00F23393"/>
    <w:rsid w:val="00F24657"/>
    <w:rsid w:val="00F24816"/>
    <w:rsid w:val="00F265C3"/>
    <w:rsid w:val="00F26D9F"/>
    <w:rsid w:val="00F26E47"/>
    <w:rsid w:val="00F33DF8"/>
    <w:rsid w:val="00F33FB4"/>
    <w:rsid w:val="00F34095"/>
    <w:rsid w:val="00F41870"/>
    <w:rsid w:val="00F42E43"/>
    <w:rsid w:val="00F44889"/>
    <w:rsid w:val="00F45EBE"/>
    <w:rsid w:val="00F463B5"/>
    <w:rsid w:val="00F51C11"/>
    <w:rsid w:val="00F618BF"/>
    <w:rsid w:val="00F6595E"/>
    <w:rsid w:val="00F66E41"/>
    <w:rsid w:val="00F77887"/>
    <w:rsid w:val="00F81752"/>
    <w:rsid w:val="00F82758"/>
    <w:rsid w:val="00F87136"/>
    <w:rsid w:val="00F875F1"/>
    <w:rsid w:val="00F919AD"/>
    <w:rsid w:val="00F96B15"/>
    <w:rsid w:val="00FA145D"/>
    <w:rsid w:val="00FA170C"/>
    <w:rsid w:val="00FA1FFE"/>
    <w:rsid w:val="00FA200B"/>
    <w:rsid w:val="00FA3993"/>
    <w:rsid w:val="00FA7911"/>
    <w:rsid w:val="00FB0DA8"/>
    <w:rsid w:val="00FB2B4B"/>
    <w:rsid w:val="00FB5C2D"/>
    <w:rsid w:val="00FB6CEF"/>
    <w:rsid w:val="00FB7586"/>
    <w:rsid w:val="00FC009F"/>
    <w:rsid w:val="00FC18D4"/>
    <w:rsid w:val="00FC337D"/>
    <w:rsid w:val="00FC5083"/>
    <w:rsid w:val="00FC56EA"/>
    <w:rsid w:val="00FC6ADC"/>
    <w:rsid w:val="00FD4055"/>
    <w:rsid w:val="00FD43EA"/>
    <w:rsid w:val="00FD50E4"/>
    <w:rsid w:val="00FD665B"/>
    <w:rsid w:val="00FE1914"/>
    <w:rsid w:val="00FE1A92"/>
    <w:rsid w:val="00FE642E"/>
    <w:rsid w:val="00FE6EF8"/>
    <w:rsid w:val="00FF3363"/>
    <w:rsid w:val="00FF58F7"/>
    <w:rsid w:val="00FF5D16"/>
    <w:rsid w:val="00FF5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F3C30"/>
  <w15:docId w15:val="{AC9C02C6-914D-4E5A-BFB8-120DE254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97F"/>
    <w:pPr>
      <w:spacing w:after="0" w:line="360" w:lineRule="auto"/>
    </w:pPr>
    <w:rPr>
      <w:rFonts w:asciiTheme="majorBidi" w:hAnsiTheme="majorBidi" w:cs="Arial"/>
      <w:sz w:val="24"/>
      <w:szCs w:val="24"/>
      <w14:textOutline w14:w="9525" w14:cap="rnd" w14:cmpd="sng" w14:algn="ctr">
        <w14:noFill/>
        <w14:prstDash w14:val="solid"/>
        <w14:bevel/>
      </w14:textOutline>
    </w:rPr>
  </w:style>
  <w:style w:type="paragraph" w:styleId="Heading1">
    <w:name w:val="heading 1"/>
    <w:basedOn w:val="Normal"/>
    <w:next w:val="Normal"/>
    <w:link w:val="Heading1Char"/>
    <w:uiPriority w:val="9"/>
    <w:qFormat/>
    <w:rsid w:val="00F82758"/>
    <w:pPr>
      <w:keepNext/>
      <w:keepLines/>
      <w:numPr>
        <w:numId w:val="1"/>
      </w:numPr>
      <w:spacing w:before="240" w:after="240"/>
      <w:outlineLvl w:val="0"/>
    </w:pPr>
    <w:rPr>
      <w:rFonts w:eastAsiaTheme="majorEastAsia" w:cstheme="majorBidi"/>
      <w:b/>
      <w:bCs/>
      <w:caps/>
      <w:sz w:val="28"/>
      <w:szCs w:val="28"/>
      <w14:textOutline w14:w="0" w14:cap="rnd" w14:cmpd="sng" w14:algn="ctr">
        <w14:noFill/>
        <w14:prstDash w14:val="solid"/>
        <w14:bevel/>
      </w14:textOutline>
    </w:rPr>
  </w:style>
  <w:style w:type="paragraph" w:styleId="Heading2">
    <w:name w:val="heading 2"/>
    <w:basedOn w:val="Normal"/>
    <w:next w:val="Normal"/>
    <w:link w:val="Heading2Char"/>
    <w:uiPriority w:val="9"/>
    <w:unhideWhenUsed/>
    <w:qFormat/>
    <w:rsid w:val="00F82758"/>
    <w:pPr>
      <w:keepNext/>
      <w:keepLines/>
      <w:numPr>
        <w:ilvl w:val="1"/>
        <w:numId w:val="1"/>
      </w:numPr>
      <w:spacing w:before="120" w:after="120"/>
      <w:ind w:left="576"/>
      <w:outlineLvl w:val="1"/>
    </w:pPr>
    <w:rPr>
      <w:rFonts w:eastAsiaTheme="majorEastAsia" w:cstheme="majorBidi"/>
      <w:b/>
      <w:bCs/>
      <w:sz w:val="26"/>
      <w:szCs w:val="26"/>
      <w14:textOutline w14:w="0" w14:cap="rnd" w14:cmpd="sng" w14:algn="ctr">
        <w14:noFill/>
        <w14:prstDash w14:val="solid"/>
        <w14:bevel/>
      </w14:textOutline>
    </w:rPr>
  </w:style>
  <w:style w:type="paragraph" w:styleId="Heading3">
    <w:name w:val="heading 3"/>
    <w:basedOn w:val="Normal"/>
    <w:next w:val="Normal"/>
    <w:link w:val="Heading3Char"/>
    <w:uiPriority w:val="9"/>
    <w:unhideWhenUsed/>
    <w:qFormat/>
    <w:rsid w:val="00F82758"/>
    <w:pPr>
      <w:keepNext/>
      <w:keepLines/>
      <w:numPr>
        <w:ilvl w:val="2"/>
        <w:numId w:val="1"/>
      </w:numPr>
      <w:spacing w:before="120" w:after="120"/>
      <w:outlineLvl w:val="2"/>
    </w:pPr>
    <w:rPr>
      <w:rFonts w:eastAsiaTheme="majorEastAsia" w:cstheme="majorBidi"/>
      <w:b/>
      <w:bCs/>
      <w:i/>
      <w:szCs w:val="22"/>
      <w14:textOutline w14:w="0" w14:cap="rnd" w14:cmpd="sng" w14:algn="ctr">
        <w14:noFill/>
        <w14:prstDash w14:val="solid"/>
        <w14:bevel/>
      </w14:textOutline>
    </w:rPr>
  </w:style>
  <w:style w:type="paragraph" w:styleId="Heading4">
    <w:name w:val="heading 4"/>
    <w:basedOn w:val="Normal"/>
    <w:next w:val="Normal"/>
    <w:link w:val="Heading4Char"/>
    <w:uiPriority w:val="9"/>
    <w:unhideWhenUsed/>
    <w:qFormat/>
    <w:rsid w:val="00C366D0"/>
    <w:pPr>
      <w:keepNext/>
      <w:keepLines/>
      <w:numPr>
        <w:ilvl w:val="3"/>
        <w:numId w:val="1"/>
      </w:numPr>
      <w:spacing w:before="120" w:after="120"/>
      <w:outlineLvl w:val="3"/>
    </w:pPr>
    <w:rPr>
      <w:rFonts w:eastAsiaTheme="majorEastAsia" w:cstheme="majorBidi"/>
      <w:bCs/>
      <w:i/>
      <w:iCs/>
      <w:szCs w:val="22"/>
      <w14:textOutline w14:w="0" w14:cap="rnd" w14:cmpd="sng" w14:algn="ctr">
        <w14:noFill/>
        <w14:prstDash w14:val="solid"/>
        <w14:bevel/>
      </w14:textOutline>
    </w:rPr>
  </w:style>
  <w:style w:type="paragraph" w:styleId="Heading5">
    <w:name w:val="heading 5"/>
    <w:basedOn w:val="Normal"/>
    <w:next w:val="Normal"/>
    <w:link w:val="Heading5Char"/>
    <w:uiPriority w:val="9"/>
    <w:unhideWhenUsed/>
    <w:qFormat/>
    <w:rsid w:val="00C366D0"/>
    <w:pPr>
      <w:keepNext/>
      <w:keepLines/>
      <w:numPr>
        <w:ilvl w:val="4"/>
        <w:numId w:val="1"/>
      </w:numPr>
      <w:spacing w:before="200"/>
      <w:outlineLvl w:val="4"/>
    </w:pPr>
    <w:rPr>
      <w:rFonts w:asciiTheme="majorHAnsi" w:eastAsiaTheme="majorEastAsia" w:hAnsiTheme="majorHAnsi" w:cstheme="majorBidi"/>
      <w:color w:val="243F60" w:themeColor="accent1" w:themeShade="7F"/>
      <w:szCs w:val="22"/>
      <w14:textOutline w14:w="0" w14:cap="rnd" w14:cmpd="sng" w14:algn="ctr">
        <w14:noFill/>
        <w14:prstDash w14:val="solid"/>
        <w14:bevel/>
      </w14:textOutline>
    </w:rPr>
  </w:style>
  <w:style w:type="paragraph" w:styleId="Heading6">
    <w:name w:val="heading 6"/>
    <w:basedOn w:val="Normal"/>
    <w:next w:val="Normal"/>
    <w:link w:val="Heading6Char"/>
    <w:uiPriority w:val="9"/>
    <w:unhideWhenUsed/>
    <w:qFormat/>
    <w:rsid w:val="00C366D0"/>
    <w:pPr>
      <w:keepNext/>
      <w:keepLines/>
      <w:numPr>
        <w:ilvl w:val="5"/>
        <w:numId w:val="1"/>
      </w:numPr>
      <w:spacing w:before="200"/>
      <w:outlineLvl w:val="5"/>
    </w:pPr>
    <w:rPr>
      <w:rFonts w:asciiTheme="majorHAnsi" w:eastAsiaTheme="majorEastAsia" w:hAnsiTheme="majorHAnsi" w:cstheme="majorBidi"/>
      <w:i/>
      <w:iCs/>
      <w:color w:val="243F60" w:themeColor="accent1" w:themeShade="7F"/>
      <w:szCs w:val="22"/>
      <w14:textOutline w14:w="0" w14:cap="rnd" w14:cmpd="sng" w14:algn="ctr">
        <w14:noFill/>
        <w14:prstDash w14:val="solid"/>
        <w14:bevel/>
      </w14:textOutline>
    </w:rPr>
  </w:style>
  <w:style w:type="paragraph" w:styleId="Heading7">
    <w:name w:val="heading 7"/>
    <w:basedOn w:val="Normal"/>
    <w:next w:val="Normal"/>
    <w:link w:val="Heading7Char"/>
    <w:uiPriority w:val="9"/>
    <w:unhideWhenUsed/>
    <w:qFormat/>
    <w:rsid w:val="00C366D0"/>
    <w:pPr>
      <w:keepNext/>
      <w:keepLines/>
      <w:numPr>
        <w:ilvl w:val="6"/>
        <w:numId w:val="1"/>
      </w:numPr>
      <w:spacing w:before="200"/>
      <w:outlineLvl w:val="6"/>
    </w:pPr>
    <w:rPr>
      <w:rFonts w:asciiTheme="majorHAnsi" w:eastAsiaTheme="majorEastAsia" w:hAnsiTheme="majorHAnsi" w:cstheme="majorBidi"/>
      <w:i/>
      <w:iCs/>
      <w:color w:val="404040" w:themeColor="text1" w:themeTint="BF"/>
      <w:szCs w:val="22"/>
      <w14:textOutline w14:w="0" w14:cap="rnd" w14:cmpd="sng" w14:algn="ctr">
        <w14:noFill/>
        <w14:prstDash w14:val="solid"/>
        <w14:bevel/>
      </w14:textOutline>
    </w:rPr>
  </w:style>
  <w:style w:type="paragraph" w:styleId="Heading8">
    <w:name w:val="heading 8"/>
    <w:basedOn w:val="Normal"/>
    <w:next w:val="Normal"/>
    <w:link w:val="Heading8Char"/>
    <w:uiPriority w:val="9"/>
    <w:unhideWhenUsed/>
    <w:qFormat/>
    <w:rsid w:val="00C366D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14:textOutline w14:w="0" w14:cap="rnd" w14:cmpd="sng" w14:algn="ctr">
        <w14:noFill/>
        <w14:prstDash w14:val="solid"/>
        <w14:bevel/>
      </w14:textOutline>
    </w:rPr>
  </w:style>
  <w:style w:type="paragraph" w:styleId="Heading9">
    <w:name w:val="heading 9"/>
    <w:basedOn w:val="Normal"/>
    <w:next w:val="Normal"/>
    <w:link w:val="Heading9Char"/>
    <w:uiPriority w:val="9"/>
    <w:unhideWhenUsed/>
    <w:qFormat/>
    <w:rsid w:val="00C366D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14:textOutline w14:w="0" w14:cap="rnd"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758"/>
    <w:rPr>
      <w:rFonts w:asciiTheme="majorBidi" w:eastAsiaTheme="majorEastAsia" w:hAnsiTheme="majorBidi" w:cstheme="majorBidi"/>
      <w:b/>
      <w:bCs/>
      <w:caps/>
      <w:sz w:val="28"/>
      <w:szCs w:val="28"/>
    </w:rPr>
  </w:style>
  <w:style w:type="character" w:customStyle="1" w:styleId="Heading2Char">
    <w:name w:val="Heading 2 Char"/>
    <w:basedOn w:val="DefaultParagraphFont"/>
    <w:link w:val="Heading2"/>
    <w:uiPriority w:val="9"/>
    <w:rsid w:val="00F82758"/>
    <w:rPr>
      <w:rFonts w:asciiTheme="majorBidi" w:eastAsiaTheme="majorEastAsia" w:hAnsiTheme="majorBidi" w:cstheme="majorBidi"/>
      <w:b/>
      <w:bCs/>
      <w:sz w:val="26"/>
      <w:szCs w:val="26"/>
    </w:rPr>
  </w:style>
  <w:style w:type="character" w:customStyle="1" w:styleId="Heading3Char">
    <w:name w:val="Heading 3 Char"/>
    <w:basedOn w:val="DefaultParagraphFont"/>
    <w:link w:val="Heading3"/>
    <w:uiPriority w:val="9"/>
    <w:rsid w:val="00F82758"/>
    <w:rPr>
      <w:rFonts w:asciiTheme="majorBidi" w:eastAsiaTheme="majorEastAsia" w:hAnsiTheme="majorBidi" w:cstheme="majorBidi"/>
      <w:b/>
      <w:bCs/>
      <w:i/>
      <w:sz w:val="24"/>
    </w:rPr>
  </w:style>
  <w:style w:type="character" w:customStyle="1" w:styleId="Heading4Char">
    <w:name w:val="Heading 4 Char"/>
    <w:basedOn w:val="DefaultParagraphFont"/>
    <w:link w:val="Heading4"/>
    <w:uiPriority w:val="9"/>
    <w:rsid w:val="00C366D0"/>
    <w:rPr>
      <w:rFonts w:ascii="Arial" w:eastAsiaTheme="majorEastAsia" w:hAnsi="Arial" w:cstheme="majorBidi"/>
      <w:bCs/>
      <w:i/>
      <w:iCs/>
      <w:sz w:val="24"/>
    </w:rPr>
  </w:style>
  <w:style w:type="character" w:customStyle="1" w:styleId="Heading5Char">
    <w:name w:val="Heading 5 Char"/>
    <w:basedOn w:val="DefaultParagraphFont"/>
    <w:link w:val="Heading5"/>
    <w:uiPriority w:val="9"/>
    <w:rsid w:val="00C366D0"/>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C366D0"/>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C366D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C366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C366D0"/>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323C69"/>
    <w:rPr>
      <w:color w:val="0000FF" w:themeColor="hyperlink"/>
      <w:u w:val="single"/>
    </w:rPr>
  </w:style>
  <w:style w:type="table" w:styleId="TableGrid">
    <w:name w:val="Table Grid"/>
    <w:basedOn w:val="TableNormal"/>
    <w:uiPriority w:val="39"/>
    <w:rsid w:val="00C36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66D0"/>
    <w:pPr>
      <w:ind w:left="720"/>
      <w:contextualSpacing/>
    </w:pPr>
    <w:rPr>
      <w:rFonts w:cstheme="minorBidi"/>
      <w:szCs w:val="22"/>
      <w14:textOutline w14:w="0" w14:cap="rnd" w14:cmpd="sng" w14:algn="ctr">
        <w14:noFill/>
        <w14:prstDash w14:val="solid"/>
        <w14:bevel/>
      </w14:textOutline>
    </w:rPr>
  </w:style>
  <w:style w:type="character" w:styleId="CommentReference">
    <w:name w:val="annotation reference"/>
    <w:basedOn w:val="DefaultParagraphFont"/>
    <w:semiHidden/>
    <w:unhideWhenUsed/>
    <w:rsid w:val="007178A1"/>
    <w:rPr>
      <w:sz w:val="16"/>
      <w:szCs w:val="16"/>
    </w:rPr>
  </w:style>
  <w:style w:type="paragraph" w:styleId="CommentText">
    <w:name w:val="annotation text"/>
    <w:basedOn w:val="Normal"/>
    <w:link w:val="CommentTextChar"/>
    <w:semiHidden/>
    <w:unhideWhenUsed/>
    <w:rsid w:val="007178A1"/>
    <w:pPr>
      <w:spacing w:line="240" w:lineRule="auto"/>
    </w:pPr>
    <w:rPr>
      <w:sz w:val="20"/>
      <w:szCs w:val="20"/>
    </w:rPr>
  </w:style>
  <w:style w:type="character" w:customStyle="1" w:styleId="CommentTextChar">
    <w:name w:val="Comment Text Char"/>
    <w:basedOn w:val="DefaultParagraphFont"/>
    <w:link w:val="CommentText"/>
    <w:semiHidden/>
    <w:rsid w:val="007178A1"/>
    <w:rPr>
      <w:rFonts w:ascii="Arial" w:hAnsi="Arial" w:cs="Arial"/>
      <w:sz w:val="20"/>
      <w:szCs w:val="20"/>
      <w14:textOutline w14:w="9525" w14:cap="rnd" w14:cmpd="sng" w14:algn="ctr">
        <w14:noFill/>
        <w14:prstDash w14:val="solid"/>
        <w14:bevel/>
      </w14:textOutline>
    </w:rPr>
  </w:style>
  <w:style w:type="paragraph" w:styleId="CommentSubject">
    <w:name w:val="annotation subject"/>
    <w:basedOn w:val="CommentText"/>
    <w:next w:val="CommentText"/>
    <w:link w:val="CommentSubjectChar"/>
    <w:semiHidden/>
    <w:unhideWhenUsed/>
    <w:rsid w:val="007178A1"/>
    <w:rPr>
      <w:b/>
      <w:bCs/>
    </w:rPr>
  </w:style>
  <w:style w:type="character" w:customStyle="1" w:styleId="CommentSubjectChar">
    <w:name w:val="Comment Subject Char"/>
    <w:basedOn w:val="CommentTextChar"/>
    <w:link w:val="CommentSubject"/>
    <w:semiHidden/>
    <w:rsid w:val="007178A1"/>
    <w:rPr>
      <w:rFonts w:ascii="Arial" w:hAnsi="Arial" w:cs="Arial"/>
      <w:b/>
      <w:bCs/>
      <w:sz w:val="20"/>
      <w:szCs w:val="20"/>
      <w14:textOutline w14:w="9525" w14:cap="rnd" w14:cmpd="sng" w14:algn="ctr">
        <w14:noFill/>
        <w14:prstDash w14:val="solid"/>
        <w14:bevel/>
      </w14:textOutline>
    </w:rPr>
  </w:style>
  <w:style w:type="paragraph" w:styleId="BalloonText">
    <w:name w:val="Balloon Text"/>
    <w:basedOn w:val="Normal"/>
    <w:link w:val="BalloonTextChar"/>
    <w:semiHidden/>
    <w:unhideWhenUsed/>
    <w:rsid w:val="007178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8A1"/>
    <w:rPr>
      <w:rFonts w:ascii="Segoe UI" w:hAnsi="Segoe UI" w:cs="Segoe UI"/>
      <w:sz w:val="18"/>
      <w:szCs w:val="18"/>
      <w14:textOutline w14:w="9525" w14:cap="rnd" w14:cmpd="sng" w14:algn="ctr">
        <w14:noFill/>
        <w14:prstDash w14:val="solid"/>
        <w14:bevel/>
      </w14:textOutline>
    </w:rPr>
  </w:style>
  <w:style w:type="table" w:customStyle="1" w:styleId="TableGrid1">
    <w:name w:val="Table Grid1"/>
    <w:basedOn w:val="TableNormal"/>
    <w:next w:val="TableGrid"/>
    <w:rsid w:val="009B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31DA3"/>
    <w:rPr>
      <w:i/>
      <w:iCs/>
    </w:rPr>
  </w:style>
  <w:style w:type="paragraph" w:styleId="Revision">
    <w:name w:val="Revision"/>
    <w:hidden/>
    <w:uiPriority w:val="99"/>
    <w:semiHidden/>
    <w:rsid w:val="00957F9A"/>
    <w:pPr>
      <w:spacing w:after="0" w:line="240" w:lineRule="auto"/>
    </w:pPr>
    <w:rPr>
      <w:rFonts w:ascii="Arial" w:hAnsi="Arial" w:cs="Arial"/>
      <w:sz w:val="24"/>
      <w:szCs w:val="24"/>
      <w14:textOutline w14:w="9525" w14:cap="rnd" w14:cmpd="sng" w14:algn="ctr">
        <w14:noFill/>
        <w14:prstDash w14:val="solid"/>
        <w14:bevel/>
      </w14:textOutline>
    </w:rPr>
  </w:style>
  <w:style w:type="paragraph" w:styleId="Caption">
    <w:name w:val="caption"/>
    <w:basedOn w:val="Normal"/>
    <w:next w:val="Normal"/>
    <w:uiPriority w:val="35"/>
    <w:unhideWhenUsed/>
    <w:qFormat/>
    <w:rsid w:val="000B1000"/>
    <w:pPr>
      <w:spacing w:after="200" w:line="240" w:lineRule="auto"/>
    </w:pPr>
    <w:rPr>
      <w:rFonts w:asciiTheme="minorHAnsi" w:hAnsiTheme="minorHAnsi" w:cstheme="minorBidi"/>
      <w:i/>
      <w:iCs/>
      <w:sz w:val="18"/>
      <w:szCs w:val="18"/>
      <w14:textOutline w14:w="0" w14:cap="rnd" w14:cmpd="sng" w14:algn="ctr">
        <w14:noFill/>
        <w14:prstDash w14:val="solid"/>
        <w14:bevel/>
      </w14:textOutline>
    </w:rPr>
  </w:style>
  <w:style w:type="paragraph" w:styleId="BodyText">
    <w:name w:val="Body Text"/>
    <w:basedOn w:val="Normal"/>
    <w:link w:val="BodyTextChar"/>
    <w:rsid w:val="00432C66"/>
    <w:pPr>
      <w:spacing w:after="120" w:line="240" w:lineRule="auto"/>
    </w:pPr>
    <w:rPr>
      <w:rFonts w:ascii="Times New Roman" w:eastAsia="Times New Roman" w:hAnsi="Times New Roman" w:cs="Times New Roman"/>
      <w14:textOutline w14:w="0" w14:cap="rnd" w14:cmpd="sng" w14:algn="ctr">
        <w14:noFill/>
        <w14:prstDash w14:val="solid"/>
        <w14:bevel/>
      </w14:textOutline>
    </w:rPr>
  </w:style>
  <w:style w:type="character" w:customStyle="1" w:styleId="BodyTextChar">
    <w:name w:val="Body Text Char"/>
    <w:basedOn w:val="DefaultParagraphFont"/>
    <w:link w:val="BodyText"/>
    <w:rsid w:val="00432C66"/>
    <w:rPr>
      <w:rFonts w:ascii="Times New Roman" w:eastAsia="Times New Roman" w:hAnsi="Times New Roman" w:cs="Times New Roman"/>
      <w:sz w:val="24"/>
      <w:szCs w:val="24"/>
    </w:rPr>
  </w:style>
  <w:style w:type="paragraph" w:styleId="ListBullet2">
    <w:name w:val="List Bullet 2"/>
    <w:basedOn w:val="Normal"/>
    <w:autoRedefine/>
    <w:rsid w:val="00432C66"/>
    <w:pPr>
      <w:numPr>
        <w:numId w:val="12"/>
      </w:numPr>
      <w:spacing w:line="240" w:lineRule="auto"/>
    </w:pPr>
    <w:rPr>
      <w:rFonts w:ascii="Times New Roman" w:eastAsia="Times New Roman" w:hAnsi="Times New Roman" w:cs="Times New Roman"/>
      <w14:textOutline w14:w="0" w14:cap="rnd" w14:cmpd="sng" w14:algn="ctr">
        <w14:noFill/>
        <w14:prstDash w14:val="solid"/>
        <w14:bevel/>
      </w14:textOutline>
    </w:rPr>
  </w:style>
  <w:style w:type="paragraph" w:styleId="ListBullet3">
    <w:name w:val="List Bullet 3"/>
    <w:basedOn w:val="Normal"/>
    <w:autoRedefine/>
    <w:rsid w:val="00432C66"/>
    <w:pPr>
      <w:numPr>
        <w:numId w:val="13"/>
      </w:numPr>
      <w:spacing w:line="240" w:lineRule="auto"/>
    </w:pPr>
    <w:rPr>
      <w:rFonts w:ascii="Times New Roman" w:eastAsia="Times New Roman" w:hAnsi="Times New Roman" w:cs="Times New Roman"/>
      <w14:textOutline w14:w="0" w14:cap="rnd" w14:cmpd="sng" w14:algn="ctr">
        <w14:noFill/>
        <w14:prstDash w14:val="solid"/>
        <w14:bevel/>
      </w14:textOutline>
    </w:rPr>
  </w:style>
  <w:style w:type="paragraph" w:customStyle="1" w:styleId="TRB-Figures">
    <w:name w:val="TRB-Figures"/>
    <w:basedOn w:val="BodyText"/>
    <w:next w:val="BodyTextIndent"/>
    <w:rsid w:val="00432C66"/>
    <w:pPr>
      <w:spacing w:line="276" w:lineRule="auto"/>
    </w:pPr>
    <w:rPr>
      <w:rFonts w:ascii="Calibri" w:eastAsia="Malgun Gocode MS" w:hAnsi="Calibri"/>
      <w:sz w:val="22"/>
      <w:szCs w:val="22"/>
      <w:lang w:eastAsia="ko-KR"/>
    </w:rPr>
  </w:style>
  <w:style w:type="paragraph" w:styleId="BodyTextIndent">
    <w:name w:val="Body Text Indent"/>
    <w:basedOn w:val="Normal"/>
    <w:link w:val="BodyTextIndentChar"/>
    <w:rsid w:val="00432C66"/>
    <w:pPr>
      <w:spacing w:after="120" w:line="240" w:lineRule="auto"/>
      <w:ind w:left="360"/>
    </w:pPr>
    <w:rPr>
      <w:rFonts w:ascii="Times New Roman" w:eastAsia="Times New Roman" w:hAnsi="Times New Roman" w:cs="Times New Roman"/>
      <w14:textOutline w14:w="0" w14:cap="rnd" w14:cmpd="sng" w14:algn="ctr">
        <w14:noFill/>
        <w14:prstDash w14:val="solid"/>
        <w14:bevel/>
      </w14:textOutline>
    </w:rPr>
  </w:style>
  <w:style w:type="character" w:customStyle="1" w:styleId="BodyTextIndentChar">
    <w:name w:val="Body Text Indent Char"/>
    <w:basedOn w:val="DefaultParagraphFont"/>
    <w:link w:val="BodyTextIndent"/>
    <w:rsid w:val="00432C66"/>
    <w:rPr>
      <w:rFonts w:ascii="Times New Roman" w:eastAsia="Times New Roman" w:hAnsi="Times New Roman" w:cs="Times New Roman"/>
      <w:sz w:val="24"/>
      <w:szCs w:val="24"/>
    </w:rPr>
  </w:style>
  <w:style w:type="character" w:customStyle="1" w:styleId="apple-converted-space">
    <w:name w:val="apple-converted-space"/>
    <w:rsid w:val="00432C66"/>
  </w:style>
  <w:style w:type="paragraph" w:styleId="NoSpacing">
    <w:name w:val="No Spacing"/>
    <w:link w:val="NoSpacingChar"/>
    <w:uiPriority w:val="1"/>
    <w:qFormat/>
    <w:rsid w:val="00432C66"/>
    <w:pPr>
      <w:spacing w:after="0" w:line="240" w:lineRule="auto"/>
    </w:pPr>
    <w:rPr>
      <w:rFonts w:ascii="Calibri" w:eastAsia="Calibri" w:hAnsi="Calibri" w:cs="Times New Roman"/>
    </w:rPr>
  </w:style>
  <w:style w:type="paragraph" w:styleId="NormalWeb">
    <w:name w:val="Normal (Web)"/>
    <w:basedOn w:val="Normal"/>
    <w:uiPriority w:val="99"/>
    <w:unhideWhenUsed/>
    <w:rsid w:val="00432C66"/>
    <w:pPr>
      <w:spacing w:before="100" w:beforeAutospacing="1" w:after="100" w:afterAutospacing="1" w:line="240" w:lineRule="auto"/>
    </w:pPr>
    <w:rPr>
      <w:rFonts w:ascii="Times New Roman" w:eastAsia="Times New Roman" w:hAnsi="Times New Roman" w:cs="Times New Roman"/>
      <w14:textOutline w14:w="0" w14:cap="rnd" w14:cmpd="sng" w14:algn="ctr">
        <w14:noFill/>
        <w14:prstDash w14:val="solid"/>
        <w14:bevel/>
      </w14:textOutline>
    </w:rPr>
  </w:style>
  <w:style w:type="table" w:styleId="MediumGrid1-Accent1">
    <w:name w:val="Medium Grid 1 Accent 1"/>
    <w:basedOn w:val="TableNormal"/>
    <w:uiPriority w:val="67"/>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2-Accent1">
    <w:name w:val="Medium List 2 Accent 1"/>
    <w:basedOn w:val="TableNormal"/>
    <w:uiPriority w:val="66"/>
    <w:rsid w:val="00432C6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ListofREFERENCES">
    <w:name w:val="List of REFERENCES"/>
    <w:basedOn w:val="Normal"/>
    <w:qFormat/>
    <w:rsid w:val="00432C66"/>
    <w:pPr>
      <w:tabs>
        <w:tab w:val="left" w:pos="284"/>
      </w:tabs>
      <w:spacing w:line="240" w:lineRule="auto"/>
      <w:ind w:left="227" w:hanging="227"/>
      <w:jc w:val="both"/>
    </w:pPr>
    <w:rPr>
      <w:rFonts w:ascii="Times New Roman" w:eastAsia="Times New Roman" w:hAnsi="Times New Roman" w:cs="Times New Roman"/>
      <w:sz w:val="20"/>
      <w:szCs w:val="20"/>
      <w:lang w:eastAsia="pl-PL"/>
      <w14:textOutline w14:w="0" w14:cap="rnd" w14:cmpd="sng" w14:algn="ctr">
        <w14:noFill/>
        <w14:prstDash w14:val="solid"/>
        <w14:bevel/>
      </w14:textOutline>
    </w:rPr>
  </w:style>
  <w:style w:type="table" w:customStyle="1" w:styleId="GridTable1Light1">
    <w:name w:val="Grid Table 1 Light1"/>
    <w:basedOn w:val="TableNormal"/>
    <w:uiPriority w:val="46"/>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432C66"/>
    <w:rPr>
      <w:color w:val="808080"/>
    </w:rPr>
  </w:style>
  <w:style w:type="table" w:customStyle="1" w:styleId="GridTable21">
    <w:name w:val="Grid Table 21"/>
    <w:basedOn w:val="TableNormal"/>
    <w:uiPriority w:val="47"/>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432C66"/>
    <w:pPr>
      <w:tabs>
        <w:tab w:val="center" w:pos="4844"/>
        <w:tab w:val="right" w:pos="9689"/>
      </w:tabs>
      <w:spacing w:line="240" w:lineRule="auto"/>
    </w:pPr>
    <w:rPr>
      <w:rFonts w:ascii="Times New Roman" w:eastAsia="Times New Roman" w:hAnsi="Times New Roman" w:cs="Times New Roman"/>
      <w14:textOutline w14:w="0" w14:cap="rnd" w14:cmpd="sng" w14:algn="ctr">
        <w14:noFill/>
        <w14:prstDash w14:val="solid"/>
        <w14:bevel/>
      </w14:textOutline>
    </w:rPr>
  </w:style>
  <w:style w:type="character" w:customStyle="1" w:styleId="HeaderChar">
    <w:name w:val="Header Char"/>
    <w:basedOn w:val="DefaultParagraphFont"/>
    <w:link w:val="Header"/>
    <w:rsid w:val="00432C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2C66"/>
    <w:pPr>
      <w:tabs>
        <w:tab w:val="center" w:pos="4844"/>
        <w:tab w:val="right" w:pos="9689"/>
      </w:tabs>
      <w:spacing w:line="240" w:lineRule="auto"/>
    </w:pPr>
    <w:rPr>
      <w:rFonts w:ascii="Times New Roman" w:eastAsia="Times New Roman" w:hAnsi="Times New Roman" w:cs="Times New Roman"/>
      <w14:textOutline w14:w="0" w14:cap="rnd" w14:cmpd="sng" w14:algn="ctr">
        <w14:noFill/>
        <w14:prstDash w14:val="solid"/>
        <w14:bevel/>
      </w14:textOutline>
    </w:rPr>
  </w:style>
  <w:style w:type="character" w:customStyle="1" w:styleId="FooterChar">
    <w:name w:val="Footer Char"/>
    <w:basedOn w:val="DefaultParagraphFont"/>
    <w:link w:val="Footer"/>
    <w:uiPriority w:val="99"/>
    <w:rsid w:val="00432C66"/>
    <w:rPr>
      <w:rFonts w:ascii="Times New Roman" w:eastAsia="Times New Roman" w:hAnsi="Times New Roman" w:cs="Times New Roman"/>
      <w:sz w:val="24"/>
      <w:szCs w:val="24"/>
    </w:rPr>
  </w:style>
  <w:style w:type="table" w:customStyle="1" w:styleId="GridTable2-Accent11">
    <w:name w:val="Grid Table 2 - Accent 11"/>
    <w:basedOn w:val="TableNormal"/>
    <w:uiPriority w:val="47"/>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bliography">
    <w:name w:val="Bibliography"/>
    <w:basedOn w:val="Normal"/>
    <w:next w:val="Normal"/>
    <w:uiPriority w:val="37"/>
    <w:unhideWhenUsed/>
    <w:rsid w:val="00432C66"/>
    <w:pPr>
      <w:tabs>
        <w:tab w:val="left" w:pos="384"/>
      </w:tabs>
      <w:spacing w:line="240" w:lineRule="auto"/>
      <w:ind w:left="384" w:hanging="384"/>
    </w:pPr>
    <w:rPr>
      <w:rFonts w:ascii="Times New Roman" w:eastAsia="Times New Roman" w:hAnsi="Times New Roman" w:cs="Times New Roman"/>
      <w14:textOutline w14:w="0" w14:cap="rnd" w14:cmpd="sng" w14:algn="ctr">
        <w14:noFill/>
        <w14:prstDash w14:val="solid"/>
        <w14:bevel/>
      </w14:textOutline>
    </w:rPr>
  </w:style>
  <w:style w:type="character" w:styleId="FollowedHyperlink">
    <w:name w:val="FollowedHyperlink"/>
    <w:basedOn w:val="DefaultParagraphFont"/>
    <w:semiHidden/>
    <w:unhideWhenUsed/>
    <w:rsid w:val="00432C66"/>
    <w:rPr>
      <w:color w:val="800080" w:themeColor="followedHyperlink"/>
      <w:u w:val="single"/>
    </w:rPr>
  </w:style>
  <w:style w:type="table" w:customStyle="1" w:styleId="GridTable31">
    <w:name w:val="Grid Table 31"/>
    <w:basedOn w:val="TableNormal"/>
    <w:uiPriority w:val="48"/>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TEXT">
    <w:name w:val="TEXT"/>
    <w:basedOn w:val="Normal"/>
    <w:qFormat/>
    <w:rsid w:val="00432C66"/>
    <w:pPr>
      <w:tabs>
        <w:tab w:val="left" w:pos="284"/>
      </w:tabs>
      <w:spacing w:line="240" w:lineRule="auto"/>
      <w:jc w:val="both"/>
    </w:pPr>
    <w:rPr>
      <w:rFonts w:ascii="Times New Roman" w:eastAsia="Times New Roman" w:hAnsi="Times New Roman" w:cs="Times New Roman"/>
      <w:color w:val="000000"/>
      <w:sz w:val="20"/>
      <w:szCs w:val="20"/>
      <w:lang w:val="pl-PL" w:eastAsia="pl-PL"/>
      <w14:textOutline w14:w="0" w14:cap="rnd" w14:cmpd="sng" w14:algn="ctr">
        <w14:noFill/>
        <w14:prstDash w14:val="solid"/>
        <w14:bevel/>
      </w14:textOutline>
    </w:rPr>
  </w:style>
  <w:style w:type="paragraph" w:styleId="FootnoteText">
    <w:name w:val="footnote text"/>
    <w:basedOn w:val="Normal"/>
    <w:link w:val="FootnoteTextChar"/>
    <w:semiHidden/>
    <w:unhideWhenUsed/>
    <w:rsid w:val="00432C66"/>
    <w:pPr>
      <w:spacing w:line="240" w:lineRule="auto"/>
    </w:pPr>
    <w:rPr>
      <w:rFonts w:ascii="Times New Roman" w:eastAsia="Times New Roman" w:hAnsi="Times New Roman" w:cs="Times New Roman"/>
      <w:sz w:val="20"/>
      <w:szCs w:val="20"/>
      <w14:textOutline w14:w="0" w14:cap="rnd" w14:cmpd="sng" w14:algn="ctr">
        <w14:noFill/>
        <w14:prstDash w14:val="solid"/>
        <w14:bevel/>
      </w14:textOutline>
    </w:rPr>
  </w:style>
  <w:style w:type="character" w:customStyle="1" w:styleId="FootnoteTextChar">
    <w:name w:val="Footnote Text Char"/>
    <w:basedOn w:val="DefaultParagraphFont"/>
    <w:link w:val="FootnoteText"/>
    <w:semiHidden/>
    <w:rsid w:val="00432C66"/>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432C66"/>
    <w:rPr>
      <w:vertAlign w:val="superscript"/>
    </w:rPr>
  </w:style>
  <w:style w:type="character" w:styleId="EndnoteReference">
    <w:name w:val="endnote reference"/>
    <w:basedOn w:val="DefaultParagraphFont"/>
    <w:semiHidden/>
    <w:unhideWhenUsed/>
    <w:rsid w:val="00432C66"/>
    <w:rPr>
      <w:vertAlign w:val="superscript"/>
    </w:rPr>
  </w:style>
  <w:style w:type="paragraph" w:customStyle="1" w:styleId="Default">
    <w:name w:val="Default"/>
    <w:rsid w:val="00432C6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GridTable4-Accent11">
    <w:name w:val="Grid Table 4 - Accent 11"/>
    <w:basedOn w:val="TableNormal"/>
    <w:uiPriority w:val="49"/>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1">
    <w:name w:val="Grid Table 41"/>
    <w:basedOn w:val="TableNormal"/>
    <w:uiPriority w:val="49"/>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SpacingChar">
    <w:name w:val="No Spacing Char"/>
    <w:basedOn w:val="DefaultParagraphFont"/>
    <w:link w:val="NoSpacing"/>
    <w:uiPriority w:val="1"/>
    <w:rsid w:val="00432C66"/>
    <w:rPr>
      <w:rFonts w:ascii="Calibri" w:eastAsia="Calibri" w:hAnsi="Calibri" w:cs="Times New Roman"/>
    </w:rPr>
  </w:style>
  <w:style w:type="character" w:styleId="BookTitle">
    <w:name w:val="Book Title"/>
    <w:basedOn w:val="DefaultParagraphFont"/>
    <w:uiPriority w:val="33"/>
    <w:qFormat/>
    <w:rsid w:val="00432C66"/>
    <w:rPr>
      <w:b/>
      <w:bCs/>
      <w:smallCaps/>
      <w:spacing w:val="5"/>
    </w:rPr>
  </w:style>
  <w:style w:type="paragraph" w:styleId="Title">
    <w:name w:val="Title"/>
    <w:basedOn w:val="Normal"/>
    <w:next w:val="Normal"/>
    <w:link w:val="TitleChar"/>
    <w:uiPriority w:val="10"/>
    <w:qFormat/>
    <w:rsid w:val="00432C6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14:textOutline w14:w="0" w14:cap="rnd" w14:cmpd="sng" w14:algn="ctr">
        <w14:noFill/>
        <w14:prstDash w14:val="solid"/>
        <w14:bevel/>
      </w14:textOutline>
    </w:rPr>
  </w:style>
  <w:style w:type="character" w:customStyle="1" w:styleId="TitleChar">
    <w:name w:val="Title Char"/>
    <w:basedOn w:val="DefaultParagraphFont"/>
    <w:link w:val="Title"/>
    <w:uiPriority w:val="10"/>
    <w:rsid w:val="00432C66"/>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432C66"/>
    <w:pPr>
      <w:numPr>
        <w:numId w:val="0"/>
      </w:numPr>
      <w:spacing w:after="0" w:line="259" w:lineRule="auto"/>
      <w:outlineLvl w:val="9"/>
    </w:pPr>
    <w:rPr>
      <w:rFonts w:asciiTheme="majorHAnsi" w:hAnsiTheme="majorHAnsi"/>
      <w:b w:val="0"/>
      <w:bCs w:val="0"/>
      <w:caps w:val="0"/>
      <w:color w:val="365F91" w:themeColor="accent1" w:themeShade="BF"/>
      <w:szCs w:val="32"/>
    </w:rPr>
  </w:style>
  <w:style w:type="paragraph" w:customStyle="1" w:styleId="Style1">
    <w:name w:val="Style1"/>
    <w:basedOn w:val="Heading1"/>
    <w:link w:val="Style1Char"/>
    <w:qFormat/>
    <w:rsid w:val="00432C66"/>
    <w:pPr>
      <w:numPr>
        <w:numId w:val="0"/>
      </w:numPr>
      <w:spacing w:after="0" w:line="240" w:lineRule="auto"/>
    </w:pPr>
    <w:rPr>
      <w:rFonts w:asciiTheme="majorHAnsi" w:hAnsiTheme="majorHAnsi"/>
      <w:bCs w:val="0"/>
      <w:caps w:val="0"/>
      <w:szCs w:val="32"/>
    </w:rPr>
  </w:style>
  <w:style w:type="character" w:customStyle="1" w:styleId="Style1Char">
    <w:name w:val="Style1 Char"/>
    <w:basedOn w:val="Heading1Char"/>
    <w:link w:val="Style1"/>
    <w:rsid w:val="00432C66"/>
    <w:rPr>
      <w:rFonts w:asciiTheme="majorHAnsi" w:eastAsiaTheme="majorEastAsia" w:hAnsiTheme="majorHAnsi" w:cstheme="majorBidi"/>
      <w:b/>
      <w:bCs w:val="0"/>
      <w:caps w:val="0"/>
      <w:sz w:val="32"/>
      <w:szCs w:val="32"/>
    </w:rPr>
  </w:style>
  <w:style w:type="paragraph" w:customStyle="1" w:styleId="StyleCaptionArialText2">
    <w:name w:val="Style Caption + Arial Text 2"/>
    <w:basedOn w:val="Caption"/>
    <w:rsid w:val="00432C66"/>
    <w:pPr>
      <w:spacing w:after="0"/>
      <w:jc w:val="center"/>
    </w:pPr>
    <w:rPr>
      <w:rFonts w:ascii="Arial" w:eastAsia="Times New Roman" w:hAnsi="Arial" w:cs="Times New Roman"/>
      <w:i w:val="0"/>
      <w:iCs w:val="0"/>
      <w:color w:val="000000" w:themeColor="text1"/>
      <w:sz w:val="22"/>
    </w:rPr>
  </w:style>
  <w:style w:type="paragraph" w:styleId="TOC1">
    <w:name w:val="toc 1"/>
    <w:basedOn w:val="Normal"/>
    <w:next w:val="Normal"/>
    <w:autoRedefine/>
    <w:uiPriority w:val="39"/>
    <w:unhideWhenUsed/>
    <w:rsid w:val="00EA5BD9"/>
    <w:pPr>
      <w:tabs>
        <w:tab w:val="left" w:pos="480"/>
        <w:tab w:val="right" w:leader="dot" w:pos="9350"/>
      </w:tabs>
      <w:spacing w:after="100"/>
    </w:pPr>
  </w:style>
  <w:style w:type="paragraph" w:styleId="TOC2">
    <w:name w:val="toc 2"/>
    <w:basedOn w:val="Normal"/>
    <w:next w:val="Normal"/>
    <w:autoRedefine/>
    <w:uiPriority w:val="39"/>
    <w:unhideWhenUsed/>
    <w:rsid w:val="009C0E8D"/>
    <w:pPr>
      <w:spacing w:after="100"/>
      <w:ind w:left="240"/>
    </w:pPr>
  </w:style>
  <w:style w:type="paragraph" w:styleId="TOC3">
    <w:name w:val="toc 3"/>
    <w:basedOn w:val="Normal"/>
    <w:next w:val="Normal"/>
    <w:autoRedefine/>
    <w:uiPriority w:val="39"/>
    <w:unhideWhenUsed/>
    <w:rsid w:val="00EA5BD9"/>
    <w:pPr>
      <w:tabs>
        <w:tab w:val="left" w:pos="1320"/>
        <w:tab w:val="right" w:leader="dot" w:pos="9350"/>
      </w:tabs>
      <w:spacing w:after="100"/>
      <w:ind w:left="480"/>
    </w:pPr>
  </w:style>
  <w:style w:type="paragraph" w:styleId="TableofFigures">
    <w:name w:val="table of figures"/>
    <w:basedOn w:val="Normal"/>
    <w:next w:val="Normal"/>
    <w:uiPriority w:val="99"/>
    <w:unhideWhenUsed/>
    <w:rsid w:val="009C0E8D"/>
    <w:rPr>
      <w:rFonts w:asciiTheme="minorHAnsi" w:hAnsiTheme="minorHAnsi" w:cs="Times New Roman"/>
      <w:i/>
      <w:iCs/>
      <w:sz w:val="20"/>
    </w:rPr>
  </w:style>
  <w:style w:type="paragraph" w:customStyle="1" w:styleId="FigureCaption">
    <w:name w:val="Figure Caption"/>
    <w:basedOn w:val="BodyText"/>
    <w:link w:val="FigureCaptionChar"/>
    <w:autoRedefine/>
    <w:qFormat/>
    <w:rsid w:val="00331040"/>
    <w:pPr>
      <w:keepNext/>
      <w:keepLines/>
      <w:ind w:firstLine="288"/>
      <w:contextualSpacing/>
      <w:jc w:val="center"/>
    </w:pPr>
    <w:rPr>
      <w:rFonts w:eastAsia="MS Gothic" w:cs="Arial"/>
      <w:b/>
      <w:color w:val="000000"/>
    </w:rPr>
  </w:style>
  <w:style w:type="character" w:customStyle="1" w:styleId="FigureCaptionChar">
    <w:name w:val="Figure Caption Char"/>
    <w:link w:val="FigureCaption"/>
    <w:rsid w:val="00331040"/>
    <w:rPr>
      <w:rFonts w:ascii="Times New Roman" w:eastAsia="MS Gothic" w:hAnsi="Times New Roman" w:cs="Arial"/>
      <w:b/>
      <w:color w:val="000000"/>
      <w:sz w:val="24"/>
      <w:szCs w:val="24"/>
    </w:rPr>
  </w:style>
  <w:style w:type="paragraph" w:customStyle="1" w:styleId="FigureCentered">
    <w:name w:val="Figure Centered"/>
    <w:basedOn w:val="Caption"/>
    <w:link w:val="FigureCenteredChar"/>
    <w:rsid w:val="00331040"/>
    <w:pPr>
      <w:keepNext/>
      <w:keepLines/>
      <w:spacing w:after="60"/>
      <w:contextualSpacing/>
      <w:jc w:val="center"/>
    </w:pPr>
    <w:rPr>
      <w:rFonts w:ascii="Times New Roman" w:eastAsia="MS Gothic" w:hAnsi="Times New Roman" w:cs="Times New Roman"/>
      <w:b/>
      <w:bCs/>
      <w:iCs w:val="0"/>
      <w:sz w:val="24"/>
      <w:szCs w:val="20"/>
      <w:lang w:bidi="en-US"/>
    </w:rPr>
  </w:style>
  <w:style w:type="character" w:customStyle="1" w:styleId="FigureCenteredChar">
    <w:name w:val="Figure Centered Char"/>
    <w:link w:val="FigureCentered"/>
    <w:rsid w:val="00331040"/>
    <w:rPr>
      <w:rFonts w:ascii="Times New Roman" w:eastAsia="MS Gothic" w:hAnsi="Times New Roman" w:cs="Times New Roman"/>
      <w:b/>
      <w:bCs/>
      <w:i/>
      <w:sz w:val="24"/>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38323">
      <w:bodyDiv w:val="1"/>
      <w:marLeft w:val="0"/>
      <w:marRight w:val="0"/>
      <w:marTop w:val="0"/>
      <w:marBottom w:val="0"/>
      <w:divBdr>
        <w:top w:val="none" w:sz="0" w:space="0" w:color="auto"/>
        <w:left w:val="none" w:sz="0" w:space="0" w:color="auto"/>
        <w:bottom w:val="none" w:sz="0" w:space="0" w:color="auto"/>
        <w:right w:val="none" w:sz="0" w:space="0" w:color="auto"/>
      </w:divBdr>
    </w:div>
    <w:div w:id="253827176">
      <w:bodyDiv w:val="1"/>
      <w:marLeft w:val="0"/>
      <w:marRight w:val="0"/>
      <w:marTop w:val="0"/>
      <w:marBottom w:val="0"/>
      <w:divBdr>
        <w:top w:val="none" w:sz="0" w:space="0" w:color="auto"/>
        <w:left w:val="none" w:sz="0" w:space="0" w:color="auto"/>
        <w:bottom w:val="none" w:sz="0" w:space="0" w:color="auto"/>
        <w:right w:val="none" w:sz="0" w:space="0" w:color="auto"/>
      </w:divBdr>
    </w:div>
    <w:div w:id="353187666">
      <w:bodyDiv w:val="1"/>
      <w:marLeft w:val="0"/>
      <w:marRight w:val="0"/>
      <w:marTop w:val="0"/>
      <w:marBottom w:val="0"/>
      <w:divBdr>
        <w:top w:val="none" w:sz="0" w:space="0" w:color="auto"/>
        <w:left w:val="none" w:sz="0" w:space="0" w:color="auto"/>
        <w:bottom w:val="none" w:sz="0" w:space="0" w:color="auto"/>
        <w:right w:val="none" w:sz="0" w:space="0" w:color="auto"/>
      </w:divBdr>
    </w:div>
    <w:div w:id="717975502">
      <w:bodyDiv w:val="1"/>
      <w:marLeft w:val="0"/>
      <w:marRight w:val="0"/>
      <w:marTop w:val="0"/>
      <w:marBottom w:val="0"/>
      <w:divBdr>
        <w:top w:val="none" w:sz="0" w:space="0" w:color="auto"/>
        <w:left w:val="none" w:sz="0" w:space="0" w:color="auto"/>
        <w:bottom w:val="none" w:sz="0" w:space="0" w:color="auto"/>
        <w:right w:val="none" w:sz="0" w:space="0" w:color="auto"/>
      </w:divBdr>
    </w:div>
    <w:div w:id="787512089">
      <w:bodyDiv w:val="1"/>
      <w:marLeft w:val="0"/>
      <w:marRight w:val="0"/>
      <w:marTop w:val="0"/>
      <w:marBottom w:val="0"/>
      <w:divBdr>
        <w:top w:val="none" w:sz="0" w:space="0" w:color="auto"/>
        <w:left w:val="none" w:sz="0" w:space="0" w:color="auto"/>
        <w:bottom w:val="none" w:sz="0" w:space="0" w:color="auto"/>
        <w:right w:val="none" w:sz="0" w:space="0" w:color="auto"/>
      </w:divBdr>
    </w:div>
    <w:div w:id="881787009">
      <w:bodyDiv w:val="1"/>
      <w:marLeft w:val="0"/>
      <w:marRight w:val="0"/>
      <w:marTop w:val="0"/>
      <w:marBottom w:val="0"/>
      <w:divBdr>
        <w:top w:val="none" w:sz="0" w:space="0" w:color="auto"/>
        <w:left w:val="none" w:sz="0" w:space="0" w:color="auto"/>
        <w:bottom w:val="none" w:sz="0" w:space="0" w:color="auto"/>
        <w:right w:val="none" w:sz="0" w:space="0" w:color="auto"/>
      </w:divBdr>
    </w:div>
    <w:div w:id="951011789">
      <w:bodyDiv w:val="1"/>
      <w:marLeft w:val="0"/>
      <w:marRight w:val="0"/>
      <w:marTop w:val="0"/>
      <w:marBottom w:val="0"/>
      <w:divBdr>
        <w:top w:val="none" w:sz="0" w:space="0" w:color="auto"/>
        <w:left w:val="none" w:sz="0" w:space="0" w:color="auto"/>
        <w:bottom w:val="none" w:sz="0" w:space="0" w:color="auto"/>
        <w:right w:val="none" w:sz="0" w:space="0" w:color="auto"/>
      </w:divBdr>
    </w:div>
    <w:div w:id="974681676">
      <w:bodyDiv w:val="1"/>
      <w:marLeft w:val="0"/>
      <w:marRight w:val="0"/>
      <w:marTop w:val="0"/>
      <w:marBottom w:val="0"/>
      <w:divBdr>
        <w:top w:val="none" w:sz="0" w:space="0" w:color="auto"/>
        <w:left w:val="none" w:sz="0" w:space="0" w:color="auto"/>
        <w:bottom w:val="none" w:sz="0" w:space="0" w:color="auto"/>
        <w:right w:val="none" w:sz="0" w:space="0" w:color="auto"/>
      </w:divBdr>
    </w:div>
    <w:div w:id="1146779087">
      <w:bodyDiv w:val="1"/>
      <w:marLeft w:val="0"/>
      <w:marRight w:val="0"/>
      <w:marTop w:val="0"/>
      <w:marBottom w:val="0"/>
      <w:divBdr>
        <w:top w:val="none" w:sz="0" w:space="0" w:color="auto"/>
        <w:left w:val="none" w:sz="0" w:space="0" w:color="auto"/>
        <w:bottom w:val="none" w:sz="0" w:space="0" w:color="auto"/>
        <w:right w:val="none" w:sz="0" w:space="0" w:color="auto"/>
      </w:divBdr>
    </w:div>
    <w:div w:id="1171797322">
      <w:bodyDiv w:val="1"/>
      <w:marLeft w:val="0"/>
      <w:marRight w:val="0"/>
      <w:marTop w:val="0"/>
      <w:marBottom w:val="0"/>
      <w:divBdr>
        <w:top w:val="none" w:sz="0" w:space="0" w:color="auto"/>
        <w:left w:val="none" w:sz="0" w:space="0" w:color="auto"/>
        <w:bottom w:val="none" w:sz="0" w:space="0" w:color="auto"/>
        <w:right w:val="none" w:sz="0" w:space="0" w:color="auto"/>
      </w:divBdr>
    </w:div>
    <w:div w:id="1194535820">
      <w:bodyDiv w:val="1"/>
      <w:marLeft w:val="0"/>
      <w:marRight w:val="0"/>
      <w:marTop w:val="0"/>
      <w:marBottom w:val="0"/>
      <w:divBdr>
        <w:top w:val="none" w:sz="0" w:space="0" w:color="auto"/>
        <w:left w:val="none" w:sz="0" w:space="0" w:color="auto"/>
        <w:bottom w:val="none" w:sz="0" w:space="0" w:color="auto"/>
        <w:right w:val="none" w:sz="0" w:space="0" w:color="auto"/>
      </w:divBdr>
    </w:div>
    <w:div w:id="1217081179">
      <w:bodyDiv w:val="1"/>
      <w:marLeft w:val="0"/>
      <w:marRight w:val="0"/>
      <w:marTop w:val="0"/>
      <w:marBottom w:val="0"/>
      <w:divBdr>
        <w:top w:val="none" w:sz="0" w:space="0" w:color="auto"/>
        <w:left w:val="none" w:sz="0" w:space="0" w:color="auto"/>
        <w:bottom w:val="none" w:sz="0" w:space="0" w:color="auto"/>
        <w:right w:val="none" w:sz="0" w:space="0" w:color="auto"/>
      </w:divBdr>
    </w:div>
    <w:div w:id="1355420816">
      <w:bodyDiv w:val="1"/>
      <w:marLeft w:val="0"/>
      <w:marRight w:val="0"/>
      <w:marTop w:val="0"/>
      <w:marBottom w:val="0"/>
      <w:divBdr>
        <w:top w:val="none" w:sz="0" w:space="0" w:color="auto"/>
        <w:left w:val="none" w:sz="0" w:space="0" w:color="auto"/>
        <w:bottom w:val="none" w:sz="0" w:space="0" w:color="auto"/>
        <w:right w:val="none" w:sz="0" w:space="0" w:color="auto"/>
      </w:divBdr>
    </w:div>
    <w:div w:id="1443765242">
      <w:bodyDiv w:val="1"/>
      <w:marLeft w:val="0"/>
      <w:marRight w:val="0"/>
      <w:marTop w:val="0"/>
      <w:marBottom w:val="0"/>
      <w:divBdr>
        <w:top w:val="none" w:sz="0" w:space="0" w:color="auto"/>
        <w:left w:val="none" w:sz="0" w:space="0" w:color="auto"/>
        <w:bottom w:val="none" w:sz="0" w:space="0" w:color="auto"/>
        <w:right w:val="none" w:sz="0" w:space="0" w:color="auto"/>
      </w:divBdr>
    </w:div>
    <w:div w:id="1468931902">
      <w:bodyDiv w:val="1"/>
      <w:marLeft w:val="0"/>
      <w:marRight w:val="0"/>
      <w:marTop w:val="0"/>
      <w:marBottom w:val="0"/>
      <w:divBdr>
        <w:top w:val="none" w:sz="0" w:space="0" w:color="auto"/>
        <w:left w:val="none" w:sz="0" w:space="0" w:color="auto"/>
        <w:bottom w:val="none" w:sz="0" w:space="0" w:color="auto"/>
        <w:right w:val="none" w:sz="0" w:space="0" w:color="auto"/>
      </w:divBdr>
    </w:div>
    <w:div w:id="1481575762">
      <w:bodyDiv w:val="1"/>
      <w:marLeft w:val="0"/>
      <w:marRight w:val="0"/>
      <w:marTop w:val="0"/>
      <w:marBottom w:val="0"/>
      <w:divBdr>
        <w:top w:val="none" w:sz="0" w:space="0" w:color="auto"/>
        <w:left w:val="none" w:sz="0" w:space="0" w:color="auto"/>
        <w:bottom w:val="none" w:sz="0" w:space="0" w:color="auto"/>
        <w:right w:val="none" w:sz="0" w:space="0" w:color="auto"/>
      </w:divBdr>
    </w:div>
    <w:div w:id="1516504607">
      <w:bodyDiv w:val="1"/>
      <w:marLeft w:val="0"/>
      <w:marRight w:val="0"/>
      <w:marTop w:val="0"/>
      <w:marBottom w:val="0"/>
      <w:divBdr>
        <w:top w:val="none" w:sz="0" w:space="0" w:color="auto"/>
        <w:left w:val="none" w:sz="0" w:space="0" w:color="auto"/>
        <w:bottom w:val="none" w:sz="0" w:space="0" w:color="auto"/>
        <w:right w:val="none" w:sz="0" w:space="0" w:color="auto"/>
      </w:divBdr>
    </w:div>
    <w:div w:id="1676496761">
      <w:bodyDiv w:val="1"/>
      <w:marLeft w:val="0"/>
      <w:marRight w:val="0"/>
      <w:marTop w:val="0"/>
      <w:marBottom w:val="0"/>
      <w:divBdr>
        <w:top w:val="none" w:sz="0" w:space="0" w:color="auto"/>
        <w:left w:val="none" w:sz="0" w:space="0" w:color="auto"/>
        <w:bottom w:val="none" w:sz="0" w:space="0" w:color="auto"/>
        <w:right w:val="none" w:sz="0" w:space="0" w:color="auto"/>
      </w:divBdr>
    </w:div>
    <w:div w:id="1811164590">
      <w:bodyDiv w:val="1"/>
      <w:marLeft w:val="0"/>
      <w:marRight w:val="0"/>
      <w:marTop w:val="0"/>
      <w:marBottom w:val="0"/>
      <w:divBdr>
        <w:top w:val="none" w:sz="0" w:space="0" w:color="auto"/>
        <w:left w:val="none" w:sz="0" w:space="0" w:color="auto"/>
        <w:bottom w:val="none" w:sz="0" w:space="0" w:color="auto"/>
        <w:right w:val="none" w:sz="0" w:space="0" w:color="auto"/>
      </w:divBdr>
    </w:div>
    <w:div w:id="1834443507">
      <w:bodyDiv w:val="1"/>
      <w:marLeft w:val="0"/>
      <w:marRight w:val="0"/>
      <w:marTop w:val="0"/>
      <w:marBottom w:val="0"/>
      <w:divBdr>
        <w:top w:val="none" w:sz="0" w:space="0" w:color="auto"/>
        <w:left w:val="none" w:sz="0" w:space="0" w:color="auto"/>
        <w:bottom w:val="none" w:sz="0" w:space="0" w:color="auto"/>
        <w:right w:val="none" w:sz="0" w:space="0" w:color="auto"/>
      </w:divBdr>
    </w:div>
    <w:div w:id="1888057425">
      <w:bodyDiv w:val="1"/>
      <w:marLeft w:val="0"/>
      <w:marRight w:val="0"/>
      <w:marTop w:val="0"/>
      <w:marBottom w:val="0"/>
      <w:divBdr>
        <w:top w:val="none" w:sz="0" w:space="0" w:color="auto"/>
        <w:left w:val="none" w:sz="0" w:space="0" w:color="auto"/>
        <w:bottom w:val="none" w:sz="0" w:space="0" w:color="auto"/>
        <w:right w:val="none" w:sz="0" w:space="0" w:color="auto"/>
      </w:divBdr>
    </w:div>
    <w:div w:id="1929388072">
      <w:bodyDiv w:val="1"/>
      <w:marLeft w:val="0"/>
      <w:marRight w:val="0"/>
      <w:marTop w:val="0"/>
      <w:marBottom w:val="0"/>
      <w:divBdr>
        <w:top w:val="none" w:sz="0" w:space="0" w:color="auto"/>
        <w:left w:val="none" w:sz="0" w:space="0" w:color="auto"/>
        <w:bottom w:val="none" w:sz="0" w:space="0" w:color="auto"/>
        <w:right w:val="none" w:sz="0" w:space="0" w:color="auto"/>
      </w:divBdr>
    </w:div>
    <w:div w:id="1962149940">
      <w:bodyDiv w:val="1"/>
      <w:marLeft w:val="0"/>
      <w:marRight w:val="0"/>
      <w:marTop w:val="0"/>
      <w:marBottom w:val="0"/>
      <w:divBdr>
        <w:top w:val="none" w:sz="0" w:space="0" w:color="auto"/>
        <w:left w:val="none" w:sz="0" w:space="0" w:color="auto"/>
        <w:bottom w:val="none" w:sz="0" w:space="0" w:color="auto"/>
        <w:right w:val="none" w:sz="0" w:space="0" w:color="auto"/>
      </w:divBdr>
    </w:div>
    <w:div w:id="1969042342">
      <w:bodyDiv w:val="1"/>
      <w:marLeft w:val="0"/>
      <w:marRight w:val="0"/>
      <w:marTop w:val="0"/>
      <w:marBottom w:val="0"/>
      <w:divBdr>
        <w:top w:val="none" w:sz="0" w:space="0" w:color="auto"/>
        <w:left w:val="none" w:sz="0" w:space="0" w:color="auto"/>
        <w:bottom w:val="none" w:sz="0" w:space="0" w:color="auto"/>
        <w:right w:val="none" w:sz="0" w:space="0" w:color="auto"/>
      </w:divBdr>
      <w:divsChild>
        <w:div w:id="964119537">
          <w:marLeft w:val="0"/>
          <w:marRight w:val="0"/>
          <w:marTop w:val="0"/>
          <w:marBottom w:val="0"/>
          <w:divBdr>
            <w:top w:val="none" w:sz="0" w:space="0" w:color="auto"/>
            <w:left w:val="none" w:sz="0" w:space="0" w:color="auto"/>
            <w:bottom w:val="none" w:sz="0" w:space="0" w:color="auto"/>
            <w:right w:val="none" w:sz="0" w:space="0" w:color="auto"/>
          </w:divBdr>
        </w:div>
      </w:divsChild>
    </w:div>
    <w:div w:id="198103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4.xml"/><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837447864367342E-2"/>
          <c:y val="0.16269395104681683"/>
          <c:w val="0.76571695656041128"/>
          <c:h val="0.79467039003845452"/>
        </c:manualLayout>
      </c:layout>
      <c:pie3DChart>
        <c:varyColors val="1"/>
        <c:ser>
          <c:idx val="0"/>
          <c:order val="0"/>
          <c:tx>
            <c:strRef>
              <c:f>'Sorted By No. Beam'!$CR$2</c:f>
              <c:strCache>
                <c:ptCount val="1"/>
                <c:pt idx="0">
                  <c:v>No. Bridge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71C-4690-80E6-EC6471C237E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71C-4690-80E6-EC6471C237E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71C-4690-80E6-EC6471C237E5}"/>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71C-4690-80E6-EC6471C237E5}"/>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71C-4690-80E6-EC6471C237E5}"/>
              </c:ext>
            </c:extLst>
          </c:dPt>
          <c:dLbls>
            <c:dLbl>
              <c:idx val="0"/>
              <c:layout>
                <c:manualLayout>
                  <c:x val="-6.2694372808734904E-3"/>
                  <c:y val="8.56397815137972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71C-4690-80E6-EC6471C237E5}"/>
                </c:ext>
              </c:extLst>
            </c:dLbl>
            <c:dLbl>
              <c:idx val="2"/>
              <c:layout>
                <c:manualLayout>
                  <c:x val="0.13979764974863743"/>
                  <c:y val="-7.386082145137269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71C-4690-80E6-EC6471C237E5}"/>
                </c:ext>
              </c:extLst>
            </c:dLbl>
            <c:dLbl>
              <c:idx val="3"/>
              <c:layout>
                <c:manualLayout>
                  <c:x val="6.8227603872932807E-2"/>
                  <c:y val="8.420827126338933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71C-4690-80E6-EC6471C237E5}"/>
                </c:ext>
              </c:extLst>
            </c:dLbl>
            <c:dLbl>
              <c:idx val="4"/>
              <c:layout>
                <c:manualLayout>
                  <c:x val="4.6278860997411381E-2"/>
                  <c:y val="0.1050427750585230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71C-4690-80E6-EC6471C237E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'Sorted By No. Beam'!$CS$1:$CW$1</c:f>
              <c:strCache>
                <c:ptCount val="5"/>
                <c:pt idx="0">
                  <c:v>One Box Girder</c:v>
                </c:pt>
                <c:pt idx="1">
                  <c:v>Two Box Girders</c:v>
                </c:pt>
                <c:pt idx="2">
                  <c:v>Three Box Girders</c:v>
                </c:pt>
                <c:pt idx="3">
                  <c:v>Four Box Girders</c:v>
                </c:pt>
                <c:pt idx="4">
                  <c:v>Five and more Box Girders</c:v>
                </c:pt>
              </c:strCache>
            </c:strRef>
          </c:cat>
          <c:val>
            <c:numRef>
              <c:f>'Sorted By No. Beam'!$CS$2:$CW$2</c:f>
              <c:numCache>
                <c:formatCode>General</c:formatCode>
                <c:ptCount val="5"/>
                <c:pt idx="0">
                  <c:v>3</c:v>
                </c:pt>
                <c:pt idx="1">
                  <c:v>85</c:v>
                </c:pt>
                <c:pt idx="2">
                  <c:v>33</c:v>
                </c:pt>
                <c:pt idx="3">
                  <c:v>7</c:v>
                </c:pt>
                <c:pt idx="4">
                  <c:v>12</c:v>
                </c:pt>
              </c:numCache>
            </c:numRef>
          </c:val>
          <c:extLst>
            <c:ext xmlns:c16="http://schemas.microsoft.com/office/drawing/2014/chart" uri="{C3380CC4-5D6E-409C-BE32-E72D297353CC}">
              <c16:uniqueId val="{0000000A-471C-4690-80E6-EC6471C237E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'Sorted By Span Length'!$CO$2</c:f>
              <c:strCache>
                <c:ptCount val="1"/>
                <c:pt idx="0">
                  <c:v>No. of Bridges</c:v>
                </c:pt>
              </c:strCache>
            </c:strRef>
          </c:tx>
          <c:spPr>
            <a:solidFill>
              <a:schemeClr val="tx1">
                <a:lumMod val="65000"/>
                <a:lumOff val="35000"/>
              </a:schemeClr>
            </a:solidFill>
            <a:ln>
              <a:noFill/>
            </a:ln>
            <a:effectLst/>
          </c:spPr>
          <c:invertIfNegative val="0"/>
          <c:dLbls>
            <c:dLbl>
              <c:idx val="0"/>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63-44DC-B3C1-6C4A97324EF9}"/>
                </c:ext>
              </c:extLst>
            </c:dLbl>
            <c:dLbl>
              <c:idx val="1"/>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63-44DC-B3C1-6C4A97324EF9}"/>
                </c:ext>
              </c:extLst>
            </c:dLbl>
            <c:dLbl>
              <c:idx val="2"/>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63-44DC-B3C1-6C4A97324EF9}"/>
                </c:ext>
              </c:extLst>
            </c:dLbl>
            <c:dLbl>
              <c:idx val="3"/>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63-44DC-B3C1-6C4A97324EF9}"/>
                </c:ext>
              </c:extLst>
            </c:dLbl>
            <c:dLbl>
              <c:idx val="4"/>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F63-44DC-B3C1-6C4A97324E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'Sorted By Span Length'!$CP$1:$CT$1</c:f>
              <c:strCache>
                <c:ptCount val="5"/>
                <c:pt idx="0">
                  <c:v>100 ≤Span&lt;150</c:v>
                </c:pt>
                <c:pt idx="1">
                  <c:v>150≤Span&lt;200</c:v>
                </c:pt>
                <c:pt idx="2">
                  <c:v>200≤Span&lt;250</c:v>
                </c:pt>
                <c:pt idx="3">
                  <c:v>250≤Span&lt;300</c:v>
                </c:pt>
                <c:pt idx="4">
                  <c:v>300≤Span&lt;400</c:v>
                </c:pt>
              </c:strCache>
            </c:strRef>
          </c:cat>
          <c:val>
            <c:numRef>
              <c:f>'Sorted By Span Length'!$CP$2:$CT$2</c:f>
              <c:numCache>
                <c:formatCode>General</c:formatCode>
                <c:ptCount val="5"/>
                <c:pt idx="0">
                  <c:v>10</c:v>
                </c:pt>
                <c:pt idx="1">
                  <c:v>28</c:v>
                </c:pt>
                <c:pt idx="2">
                  <c:v>28</c:v>
                </c:pt>
                <c:pt idx="3">
                  <c:v>15</c:v>
                </c:pt>
                <c:pt idx="4">
                  <c:v>4</c:v>
                </c:pt>
              </c:numCache>
            </c:numRef>
          </c:val>
          <c:extLst>
            <c:ext xmlns:c16="http://schemas.microsoft.com/office/drawing/2014/chart" uri="{C3380CC4-5D6E-409C-BE32-E72D297353CC}">
              <c16:uniqueId val="{00000000-CF63-44DC-B3C1-6C4A97324EF9}"/>
            </c:ext>
          </c:extLst>
        </c:ser>
        <c:dLbls>
          <c:dLblPos val="outEnd"/>
          <c:showLegendKey val="0"/>
          <c:showVal val="1"/>
          <c:showCatName val="0"/>
          <c:showSerName val="0"/>
          <c:showPercent val="0"/>
          <c:showBubbleSize val="0"/>
        </c:dLbls>
        <c:gapWidth val="199"/>
        <c:axId val="196818592"/>
        <c:axId val="196819152"/>
      </c:barChart>
      <c:catAx>
        <c:axId val="19681859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Maximum Span Length (ft)</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96819152"/>
        <c:crosses val="autoZero"/>
        <c:auto val="1"/>
        <c:lblAlgn val="ctr"/>
        <c:lblOffset val="100"/>
        <c:noMultiLvlLbl val="0"/>
      </c:catAx>
      <c:valAx>
        <c:axId val="1968191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kern="1200" cap="all" baseline="0">
                    <a:solidFill>
                      <a:sysClr val="windowText" lastClr="000000">
                        <a:lumMod val="65000"/>
                        <a:lumOff val="35000"/>
                      </a:sysClr>
                    </a:solidFill>
                    <a:latin typeface="+mn-lt"/>
                    <a:ea typeface="+mn-ea"/>
                    <a:cs typeface="+mn-cs"/>
                  </a:rPr>
                  <a:t>No. of </a:t>
                </a:r>
                <a:r>
                  <a:rPr lang="en-US"/>
                  <a:t>Bridges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18592"/>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'Sorted By No. Span'!$CO$2</c:f>
              <c:strCache>
                <c:ptCount val="1"/>
                <c:pt idx="0">
                  <c:v>No. of Bridges</c:v>
                </c:pt>
              </c:strCache>
            </c:strRef>
          </c:tx>
          <c:spPr>
            <a:solidFill>
              <a:schemeClr val="tx1">
                <a:lumMod val="65000"/>
                <a:lumOff val="35000"/>
              </a:schemeClr>
            </a:solidFill>
            <a:ln>
              <a:noFill/>
            </a:ln>
            <a:effectLst/>
          </c:spPr>
          <c:invertIfNegative val="0"/>
          <c:dLbls>
            <c:dLbl>
              <c:idx val="0"/>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89-48D1-9BDE-7A3E0EED1C7F}"/>
                </c:ext>
              </c:extLst>
            </c:dLbl>
            <c:dLbl>
              <c:idx val="1"/>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89-48D1-9BDE-7A3E0EED1C7F}"/>
                </c:ext>
              </c:extLst>
            </c:dLbl>
            <c:dLbl>
              <c:idx val="2"/>
              <c:tx>
                <c:rich>
                  <a:bodyPr/>
                  <a:lstStyle/>
                  <a:p>
                    <a:r>
                      <a:rPr lang="en-US"/>
                      <a:t>75</a:t>
                    </a:r>
                    <a:r>
                      <a:rPr lang="en-US" baseline="0"/>
                      <a:t>%</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89-48D1-9BDE-7A3E0EED1C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'Sorted By No. Span'!$CP$1:$CR$1</c:f>
              <c:strCache>
                <c:ptCount val="3"/>
                <c:pt idx="0">
                  <c:v>1 Span</c:v>
                </c:pt>
                <c:pt idx="1">
                  <c:v>2 Spans</c:v>
                </c:pt>
                <c:pt idx="2">
                  <c:v>3 and more Spans</c:v>
                </c:pt>
              </c:strCache>
            </c:strRef>
          </c:cat>
          <c:val>
            <c:numRef>
              <c:f>'Sorted By No. Span'!$CP$2:$CR$2</c:f>
              <c:numCache>
                <c:formatCode>General</c:formatCode>
                <c:ptCount val="3"/>
                <c:pt idx="0">
                  <c:v>5</c:v>
                </c:pt>
                <c:pt idx="1">
                  <c:v>16</c:v>
                </c:pt>
                <c:pt idx="2">
                  <c:v>64</c:v>
                </c:pt>
              </c:numCache>
            </c:numRef>
          </c:val>
          <c:extLst>
            <c:ext xmlns:c16="http://schemas.microsoft.com/office/drawing/2014/chart" uri="{C3380CC4-5D6E-409C-BE32-E72D297353CC}">
              <c16:uniqueId val="{00000003-2889-48D1-9BDE-7A3E0EED1C7F}"/>
            </c:ext>
          </c:extLst>
        </c:ser>
        <c:dLbls>
          <c:dLblPos val="outEnd"/>
          <c:showLegendKey val="0"/>
          <c:showVal val="1"/>
          <c:showCatName val="0"/>
          <c:showSerName val="0"/>
          <c:showPercent val="0"/>
          <c:showBubbleSize val="0"/>
        </c:dLbls>
        <c:gapWidth val="199"/>
        <c:axId val="196821952"/>
        <c:axId val="196822512"/>
      </c:barChart>
      <c:catAx>
        <c:axId val="19682195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No. Span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96822512"/>
        <c:crosses val="autoZero"/>
        <c:auto val="1"/>
        <c:lblAlgn val="ctr"/>
        <c:lblOffset val="100"/>
        <c:noMultiLvlLbl val="0"/>
      </c:catAx>
      <c:valAx>
        <c:axId val="1968225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No. of Bridges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21952"/>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1"/>
          <c:order val="0"/>
          <c:tx>
            <c:strRef>
              <c:f>'Sorted By No. Lane'!$CO$7</c:f>
              <c:strCache>
                <c:ptCount val="1"/>
                <c:pt idx="0">
                  <c:v>No. of Bridges</c:v>
                </c:pt>
              </c:strCache>
            </c:strRef>
          </c:tx>
          <c:spPr>
            <a:solidFill>
              <a:schemeClr val="tx1">
                <a:lumMod val="65000"/>
                <a:lumOff val="35000"/>
              </a:schemeClr>
            </a:solidFill>
            <a:ln>
              <a:noFill/>
            </a:ln>
            <a:effectLst/>
          </c:spPr>
          <c:invertIfNegative val="0"/>
          <c:dPt>
            <c:idx val="0"/>
            <c:invertIfNegative val="0"/>
            <c:bubble3D val="0"/>
            <c:extLst>
              <c:ext xmlns:c16="http://schemas.microsoft.com/office/drawing/2014/chart" uri="{C3380CC4-5D6E-409C-BE32-E72D297353CC}">
                <c16:uniqueId val="{00000000-1CEE-49AE-8692-E1212E152AE5}"/>
              </c:ext>
            </c:extLst>
          </c:dPt>
          <c:dPt>
            <c:idx val="1"/>
            <c:invertIfNegative val="0"/>
            <c:bubble3D val="0"/>
            <c:extLst>
              <c:ext xmlns:c16="http://schemas.microsoft.com/office/drawing/2014/chart" uri="{C3380CC4-5D6E-409C-BE32-E72D297353CC}">
                <c16:uniqueId val="{00000001-1CEE-49AE-8692-E1212E152AE5}"/>
              </c:ext>
            </c:extLst>
          </c:dPt>
          <c:dPt>
            <c:idx val="2"/>
            <c:invertIfNegative val="0"/>
            <c:bubble3D val="0"/>
            <c:extLst>
              <c:ext xmlns:c16="http://schemas.microsoft.com/office/drawing/2014/chart" uri="{C3380CC4-5D6E-409C-BE32-E72D297353CC}">
                <c16:uniqueId val="{00000002-1CEE-49AE-8692-E1212E152AE5}"/>
              </c:ext>
            </c:extLst>
          </c:dPt>
          <c:dLbls>
            <c:dLbl>
              <c:idx val="0"/>
              <c:tx>
                <c:rich>
                  <a:bodyPr/>
                  <a:lstStyle/>
                  <a:p>
                    <a:r>
                      <a:rPr lang="en-US"/>
                      <a:t>92%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EE-49AE-8692-E1212E152AE5}"/>
                </c:ext>
              </c:extLst>
            </c:dLbl>
            <c:dLbl>
              <c:idx val="1"/>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EE-49AE-8692-E1212E152AE5}"/>
                </c:ext>
              </c:extLst>
            </c:dLbl>
            <c:dLbl>
              <c:idx val="2"/>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EE-49AE-8692-E1212E152A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'Sorted By No. Lane'!$CP$6:$CR$6</c:f>
              <c:strCache>
                <c:ptCount val="3"/>
                <c:pt idx="0">
                  <c:v>1 and 2 Lanes</c:v>
                </c:pt>
                <c:pt idx="1">
                  <c:v>3 Lanes</c:v>
                </c:pt>
                <c:pt idx="2">
                  <c:v>4 lanes</c:v>
                </c:pt>
              </c:strCache>
            </c:strRef>
          </c:cat>
          <c:val>
            <c:numRef>
              <c:f>'Sorted By No. Lane'!$CP$7:$CR$7</c:f>
              <c:numCache>
                <c:formatCode>General</c:formatCode>
                <c:ptCount val="3"/>
                <c:pt idx="0">
                  <c:v>78</c:v>
                </c:pt>
                <c:pt idx="1">
                  <c:v>3</c:v>
                </c:pt>
                <c:pt idx="2">
                  <c:v>4</c:v>
                </c:pt>
              </c:numCache>
            </c:numRef>
          </c:val>
          <c:extLst>
            <c:ext xmlns:c16="http://schemas.microsoft.com/office/drawing/2014/chart" uri="{C3380CC4-5D6E-409C-BE32-E72D297353CC}">
              <c16:uniqueId val="{00000003-1CEE-49AE-8692-E1212E152AE5}"/>
            </c:ext>
          </c:extLst>
        </c:ser>
        <c:dLbls>
          <c:dLblPos val="outEnd"/>
          <c:showLegendKey val="0"/>
          <c:showVal val="1"/>
          <c:showCatName val="0"/>
          <c:showSerName val="0"/>
          <c:showPercent val="0"/>
          <c:showBubbleSize val="0"/>
        </c:dLbls>
        <c:gapWidth val="199"/>
        <c:axId val="199454736"/>
        <c:axId val="199455296"/>
      </c:barChart>
      <c:catAx>
        <c:axId val="19945473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kern="1200" cap="all" baseline="0">
                    <a:solidFill>
                      <a:sysClr val="windowText" lastClr="000000">
                        <a:lumMod val="65000"/>
                        <a:lumOff val="35000"/>
                      </a:sysClr>
                    </a:solidFill>
                    <a:latin typeface="+mn-lt"/>
                    <a:ea typeface="+mn-ea"/>
                    <a:cs typeface="+mn-cs"/>
                  </a:rPr>
                  <a:t>No. of </a:t>
                </a:r>
                <a:r>
                  <a:rPr lang="en-US"/>
                  <a:t>lane</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99455296"/>
        <c:crosses val="autoZero"/>
        <c:auto val="1"/>
        <c:lblAlgn val="ctr"/>
        <c:lblOffset val="100"/>
        <c:noMultiLvlLbl val="0"/>
      </c:catAx>
      <c:valAx>
        <c:axId val="1994552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kern="1200" cap="all" baseline="0">
                    <a:solidFill>
                      <a:sysClr val="windowText" lastClr="000000">
                        <a:lumMod val="65000"/>
                        <a:lumOff val="35000"/>
                      </a:sysClr>
                    </a:solidFill>
                    <a:latin typeface="+mn-lt"/>
                    <a:ea typeface="+mn-ea"/>
                    <a:cs typeface="+mn-cs"/>
                  </a:rPr>
                  <a:t>No. of </a:t>
                </a:r>
                <a:r>
                  <a:rPr lang="en-US"/>
                  <a:t>Bridges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454736"/>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'Sorted By Deck Width'!$CO$3</c:f>
              <c:strCache>
                <c:ptCount val="1"/>
                <c:pt idx="0">
                  <c:v>No. of Bridges</c:v>
                </c:pt>
              </c:strCache>
            </c:strRef>
          </c:tx>
          <c:spPr>
            <a:solidFill>
              <a:schemeClr val="dk1">
                <a:tint val="88500"/>
              </a:schemeClr>
            </a:solidFill>
            <a:ln>
              <a:noFill/>
            </a:ln>
            <a:effectLst/>
          </c:spPr>
          <c:invertIfNegative val="0"/>
          <c:dLbls>
            <c:dLbl>
              <c:idx val="0"/>
              <c:tx>
                <c:rich>
                  <a:bodyPr/>
                  <a:lstStyle/>
                  <a:p>
                    <a:r>
                      <a:rPr lang="en-US"/>
                      <a:t>45%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91-48EC-AB1F-52958A3AA9C3}"/>
                </c:ext>
              </c:extLst>
            </c:dLbl>
            <c:dLbl>
              <c:idx val="1"/>
              <c:tx>
                <c:rich>
                  <a:bodyPr/>
                  <a:lstStyle/>
                  <a:p>
                    <a:r>
                      <a:rPr lang="en-US"/>
                      <a:t>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91-48EC-AB1F-52958A3AA9C3}"/>
                </c:ext>
              </c:extLst>
            </c:dLbl>
            <c:dLbl>
              <c:idx val="2"/>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91-48EC-AB1F-52958A3AA9C3}"/>
                </c:ext>
              </c:extLst>
            </c:dLbl>
            <c:dLbl>
              <c:idx val="3"/>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91-48EC-AB1F-52958A3AA9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'Sorted By Deck Width'!$CP$1:$CS$2</c:f>
              <c:multiLvlStrCache>
                <c:ptCount val="4"/>
                <c:lvl>
                  <c:pt idx="0">
                    <c:v>1 lane</c:v>
                  </c:pt>
                  <c:pt idx="1">
                    <c:v>2 lanes</c:v>
                  </c:pt>
                  <c:pt idx="2">
                    <c:v>3 lanes</c:v>
                  </c:pt>
                  <c:pt idx="3">
                    <c:v>4 lanes</c:v>
                  </c:pt>
                </c:lvl>
                <c:lvl>
                  <c:pt idx="0">
                    <c:v>25-40 ft</c:v>
                  </c:pt>
                  <c:pt idx="1">
                    <c:v>40-50 ft</c:v>
                  </c:pt>
                  <c:pt idx="2">
                    <c:v>50-60 ft</c:v>
                  </c:pt>
                  <c:pt idx="3">
                    <c:v>60-80 ft</c:v>
                  </c:pt>
                </c:lvl>
              </c:multiLvlStrCache>
            </c:multiLvlStrRef>
          </c:cat>
          <c:val>
            <c:numRef>
              <c:f>'Sorted By Deck Width'!$CP$3:$CS$3</c:f>
              <c:numCache>
                <c:formatCode>General</c:formatCode>
                <c:ptCount val="4"/>
                <c:pt idx="0">
                  <c:v>38</c:v>
                </c:pt>
                <c:pt idx="1">
                  <c:v>40</c:v>
                </c:pt>
                <c:pt idx="2">
                  <c:v>3</c:v>
                </c:pt>
                <c:pt idx="3">
                  <c:v>4</c:v>
                </c:pt>
              </c:numCache>
            </c:numRef>
          </c:val>
          <c:extLst>
            <c:ext xmlns:c16="http://schemas.microsoft.com/office/drawing/2014/chart" uri="{C3380CC4-5D6E-409C-BE32-E72D297353CC}">
              <c16:uniqueId val="{00000004-EE91-48EC-AB1F-52958A3AA9C3}"/>
            </c:ext>
          </c:extLst>
        </c:ser>
        <c:dLbls>
          <c:dLblPos val="outEnd"/>
          <c:showLegendKey val="0"/>
          <c:showVal val="1"/>
          <c:showCatName val="0"/>
          <c:showSerName val="0"/>
          <c:showPercent val="0"/>
          <c:showBubbleSize val="0"/>
        </c:dLbls>
        <c:gapWidth val="199"/>
        <c:axId val="199458096"/>
        <c:axId val="199458656"/>
      </c:barChart>
      <c:catAx>
        <c:axId val="19945809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Deck Width (ft)</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99458656"/>
        <c:crosses val="autoZero"/>
        <c:auto val="1"/>
        <c:lblAlgn val="ctr"/>
        <c:lblOffset val="100"/>
        <c:noMultiLvlLbl val="0"/>
      </c:catAx>
      <c:valAx>
        <c:axId val="199458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kern="1200" cap="all" baseline="0">
                    <a:solidFill>
                      <a:sysClr val="windowText" lastClr="000000">
                        <a:lumMod val="65000"/>
                        <a:lumOff val="35000"/>
                      </a:sysClr>
                    </a:solidFill>
                    <a:latin typeface="+mn-lt"/>
                    <a:ea typeface="+mn-ea"/>
                    <a:cs typeface="+mn-cs"/>
                  </a:rPr>
                  <a:t>No. of </a:t>
                </a:r>
                <a:r>
                  <a:rPr lang="en-US"/>
                  <a:t>Bridges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458096"/>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3FB381-698B-4BDF-932A-8C3A11C7142D}"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US"/>
        </a:p>
      </dgm:t>
    </dgm:pt>
    <dgm:pt modelId="{2B333532-5D0C-43D7-B0B5-75564AED8497}">
      <dgm:prSet phldrT="[Text]" custT="1"/>
      <dgm:spPr/>
      <dgm:t>
        <a:bodyPr/>
        <a:lstStyle/>
        <a:p>
          <a:pPr algn="ctr"/>
          <a:r>
            <a:rPr lang="en-US" sz="800">
              <a:latin typeface="Times New Roman" panose="02020603050405020304" pitchFamily="18" charset="0"/>
              <a:cs typeface="Times New Roman" panose="02020603050405020304" pitchFamily="18" charset="0"/>
            </a:rPr>
            <a:t>Twin Steel Box Girders</a:t>
          </a:r>
        </a:p>
      </dgm:t>
    </dgm:pt>
    <dgm:pt modelId="{86A84340-D894-47D9-B551-DF3645DA6409}" type="parTrans" cxnId="{39448BBC-0897-4BD1-AB35-6747138B7A2C}">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ABA9D747-256B-4190-A876-32B0CD801F54}" type="sibTrans" cxnId="{39448BBC-0897-4BD1-AB35-6747138B7A2C}">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49444837-CDE3-4CD5-A546-CA4E934F77CD}" type="asst">
      <dgm:prSet phldrT="[Text]" custT="1"/>
      <dgm:spPr/>
      <dgm:t>
        <a:bodyPr/>
        <a:lstStyle/>
        <a:p>
          <a:pPr algn="ctr"/>
          <a:endParaRPr lang="en-US" sz="800">
            <a:latin typeface="Times New Roman" panose="02020603050405020304" pitchFamily="18" charset="0"/>
            <a:cs typeface="Times New Roman" panose="02020603050405020304" pitchFamily="18" charset="0"/>
          </a:endParaRPr>
        </a:p>
        <a:p>
          <a:pPr algn="ctr"/>
          <a:r>
            <a:rPr lang="en-US" sz="800">
              <a:latin typeface="Times New Roman" panose="02020603050405020304" pitchFamily="18" charset="0"/>
              <a:cs typeface="Times New Roman" panose="02020603050405020304" pitchFamily="18" charset="0"/>
            </a:rPr>
            <a:t>Span Length= 400</a:t>
          </a:r>
        </a:p>
        <a:p>
          <a:pPr algn="ctr"/>
          <a:r>
            <a:rPr lang="en-US" sz="800">
              <a:latin typeface="Times New Roman" panose="02020603050405020304" pitchFamily="18" charset="0"/>
              <a:cs typeface="Times New Roman" panose="02020603050405020304" pitchFamily="18" charset="0"/>
            </a:rPr>
            <a:t>Min. Radius Of Curvature =774</a:t>
          </a:r>
        </a:p>
        <a:p>
          <a:pPr algn="ctr"/>
          <a:endParaRPr lang="en-US" sz="800">
            <a:latin typeface="Times New Roman" panose="02020603050405020304" pitchFamily="18" charset="0"/>
            <a:cs typeface="Times New Roman" panose="02020603050405020304" pitchFamily="18" charset="0"/>
          </a:endParaRPr>
        </a:p>
      </dgm:t>
    </dgm:pt>
    <dgm:pt modelId="{6D59B5C4-050D-4E98-9028-072951547558}" type="parTrans" cxnId="{1BB5001C-EF70-4391-B4E2-C982AEFF66E2}">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63C4CC27-340A-49D2-9090-03D211E63E18}" type="sibTrans" cxnId="{1BB5001C-EF70-4391-B4E2-C982AEFF66E2}">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D4CF1D91-B426-4397-A288-F38211FF617E}" type="asst">
      <dgm:prSet custT="1"/>
      <dgm:spPr/>
      <dgm:t>
        <a:bodyPr/>
        <a:lstStyle/>
        <a:p>
          <a:pPr algn="ctr"/>
          <a:r>
            <a:rPr lang="en-US" sz="800">
              <a:latin typeface="Times New Roman" panose="02020603050405020304" pitchFamily="18" charset="0"/>
              <a:cs typeface="Times New Roman" panose="02020603050405020304" pitchFamily="18" charset="0"/>
            </a:rPr>
            <a:t>Simple Span</a:t>
          </a:r>
        </a:p>
      </dgm:t>
    </dgm:pt>
    <dgm:pt modelId="{B80E6569-7518-40F9-82BB-C818F7DEA0FE}" type="parTrans" cxnId="{1C5890C7-0A65-4E53-8710-FB30FACF62C8}">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044E456E-D54E-4F82-AB24-71874D06F312}" type="sibTrans" cxnId="{1C5890C7-0A65-4E53-8710-FB30FACF62C8}">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93568E90-565D-4234-82BA-531E2B239C5E}" type="asst">
      <dgm:prSet custT="1"/>
      <dgm:spPr/>
      <dgm:t>
        <a:bodyPr/>
        <a:lstStyle/>
        <a:p>
          <a:pPr algn="ctr"/>
          <a:r>
            <a:rPr lang="en-US" sz="800">
              <a:latin typeface="Times New Roman" panose="02020603050405020304" pitchFamily="18" charset="0"/>
              <a:cs typeface="Times New Roman" panose="02020603050405020304" pitchFamily="18" charset="0"/>
            </a:rPr>
            <a:t>Span Length= 300</a:t>
          </a:r>
        </a:p>
        <a:p>
          <a:pPr algn="ctr"/>
          <a:r>
            <a:rPr lang="en-US" sz="800">
              <a:latin typeface="Times New Roman" panose="02020603050405020304" pitchFamily="18" charset="0"/>
              <a:cs typeface="Times New Roman" panose="02020603050405020304" pitchFamily="18" charset="0"/>
            </a:rPr>
            <a:t>Min. Radius Of Curvature =490</a:t>
          </a:r>
        </a:p>
      </dgm:t>
    </dgm:pt>
    <dgm:pt modelId="{60A08E6F-AFB4-401C-AD10-8A64A19A6396}" type="parTrans" cxnId="{F0532A29-7F79-4B93-930A-E8D1F0ED3A6F}">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44BA213F-70A2-4753-9616-695AEF894F16}" type="sibTrans" cxnId="{F0532A29-7F79-4B93-930A-E8D1F0ED3A6F}">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8B706184-CA3F-4044-B94A-C535D61CCDB9}" type="asst">
      <dgm:prSet custT="1"/>
      <dgm:spPr/>
      <dgm:t>
        <a:bodyPr/>
        <a:lstStyle/>
        <a:p>
          <a:pPr algn="ctr"/>
          <a:r>
            <a:rPr lang="en-US" sz="800">
              <a:latin typeface="Times New Roman" panose="02020603050405020304" pitchFamily="18" charset="0"/>
              <a:cs typeface="Times New Roman" panose="02020603050405020304" pitchFamily="18" charset="0"/>
            </a:rPr>
            <a:t>Span Length= 250</a:t>
          </a:r>
        </a:p>
        <a:p>
          <a:pPr algn="ctr"/>
          <a:r>
            <a:rPr lang="en-US" sz="800">
              <a:latin typeface="Times New Roman" panose="02020603050405020304" pitchFamily="18" charset="0"/>
              <a:cs typeface="Times New Roman" panose="02020603050405020304" pitchFamily="18" charset="0"/>
            </a:rPr>
            <a:t>Min. Radius Of Curvature =400</a:t>
          </a:r>
        </a:p>
      </dgm:t>
    </dgm:pt>
    <dgm:pt modelId="{E71CD468-8379-4D05-B608-68699A899A35}" type="parTrans" cxnId="{2548DD07-AFB5-43B8-9503-F4D7B2DDDCF4}">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BB33431E-6248-4E87-A217-F28482BD0F40}" type="sibTrans" cxnId="{2548DD07-AFB5-43B8-9503-F4D7B2DDDCF4}">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8C9614F9-577C-4B24-A53A-3A63BCE19859}" type="asst">
      <dgm:prSet custT="1"/>
      <dgm:spPr/>
      <dgm:t>
        <a:bodyPr/>
        <a:lstStyle/>
        <a:p>
          <a:pPr algn="ctr"/>
          <a:r>
            <a:rPr lang="en-US" sz="800">
              <a:latin typeface="Times New Roman" panose="02020603050405020304" pitchFamily="18" charset="0"/>
              <a:cs typeface="Times New Roman" panose="02020603050405020304" pitchFamily="18" charset="0"/>
            </a:rPr>
            <a:t>Span Length= 200</a:t>
          </a:r>
        </a:p>
        <a:p>
          <a:pPr algn="ctr"/>
          <a:r>
            <a:rPr lang="en-US" sz="800">
              <a:latin typeface="Times New Roman" panose="02020603050405020304" pitchFamily="18" charset="0"/>
              <a:cs typeface="Times New Roman" panose="02020603050405020304" pitchFamily="18" charset="0"/>
            </a:rPr>
            <a:t>Min. Radius Of Curvature =280</a:t>
          </a:r>
        </a:p>
      </dgm:t>
    </dgm:pt>
    <dgm:pt modelId="{745E2568-CDB9-40E9-8C26-DC82C7FC3BCA}" type="parTrans" cxnId="{E899B111-4449-448B-8A3D-73D08A7FEFF2}">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7E8A13C4-ABD5-4F42-AE46-802AB850676F}" type="sibTrans" cxnId="{E899B111-4449-448B-8A3D-73D08A7FEFF2}">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235C175D-5845-4FC8-8D98-442EABAD697B}" type="asst">
      <dgm:prSet custT="1"/>
      <dgm:spPr/>
      <dgm:t>
        <a:bodyPr/>
        <a:lstStyle/>
        <a:p>
          <a:pPr algn="ctr"/>
          <a:r>
            <a:rPr lang="en-US" sz="800">
              <a:latin typeface="Times New Roman" panose="02020603050405020304" pitchFamily="18" charset="0"/>
              <a:cs typeface="Times New Roman" panose="02020603050405020304" pitchFamily="18" charset="0"/>
            </a:rPr>
            <a:t>Span Length= 150</a:t>
          </a:r>
        </a:p>
        <a:p>
          <a:pPr algn="ctr"/>
          <a:r>
            <a:rPr lang="en-US" sz="800">
              <a:latin typeface="Times New Roman" panose="02020603050405020304" pitchFamily="18" charset="0"/>
              <a:cs typeface="Times New Roman" panose="02020603050405020304" pitchFamily="18" charset="0"/>
            </a:rPr>
            <a:t>Min. Radius Of Curvature =175</a:t>
          </a:r>
        </a:p>
      </dgm:t>
    </dgm:pt>
    <dgm:pt modelId="{9FA40FFD-6851-483E-8499-A3A1CF13506D}" type="parTrans" cxnId="{D751A7D6-46B2-40B8-BB6B-AF662E2D7E96}">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4355A6F7-2535-4D93-A74E-4EF368AD4B07}" type="sibTrans" cxnId="{D751A7D6-46B2-40B8-BB6B-AF662E2D7E96}">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0ECACD50-5F00-4857-A412-DAEADB96AB9C}" type="asst">
      <dgm:prSet custT="1"/>
      <dgm:spPr/>
      <dgm:t>
        <a:bodyPr/>
        <a:lstStyle/>
        <a:p>
          <a:pPr algn="ctr"/>
          <a:r>
            <a:rPr lang="en-US" sz="800">
              <a:latin typeface="Times New Roman" panose="02020603050405020304" pitchFamily="18" charset="0"/>
              <a:cs typeface="Times New Roman" panose="02020603050405020304" pitchFamily="18" charset="0"/>
            </a:rPr>
            <a:t>Multi Spans</a:t>
          </a:r>
        </a:p>
      </dgm:t>
    </dgm:pt>
    <dgm:pt modelId="{F7B93F52-52C4-4BE2-B1CF-4DA87F651F2E}" type="parTrans" cxnId="{E53BC301-B4F5-4DAB-A5A4-283FF0F5EA91}">
      <dgm:prSet/>
      <dgm:spPr/>
      <dgm:t>
        <a:bodyPr/>
        <a:lstStyle/>
        <a:p>
          <a:pPr algn="ctr"/>
          <a:endParaRPr lang="en-US" sz="800"/>
        </a:p>
      </dgm:t>
    </dgm:pt>
    <dgm:pt modelId="{C5FD2EA6-CF01-4B0C-8C01-857A2D27C571}" type="sibTrans" cxnId="{E53BC301-B4F5-4DAB-A5A4-283FF0F5EA91}">
      <dgm:prSet/>
      <dgm:spPr/>
      <dgm:t>
        <a:bodyPr/>
        <a:lstStyle/>
        <a:p>
          <a:pPr algn="ctr"/>
          <a:endParaRPr lang="en-US" sz="800"/>
        </a:p>
      </dgm:t>
    </dgm:pt>
    <dgm:pt modelId="{473B4E0C-9B14-455F-B402-E58804103EFC}">
      <dgm:prSet custT="1"/>
      <dgm:spPr/>
      <dgm:t>
        <a:bodyPr/>
        <a:lstStyle/>
        <a:p>
          <a:pPr algn="ctr"/>
          <a:r>
            <a:rPr lang="en-US" sz="800">
              <a:latin typeface="Times New Roman" panose="02020603050405020304" pitchFamily="18" charset="0"/>
              <a:cs typeface="Times New Roman" panose="02020603050405020304" pitchFamily="18" charset="0"/>
            </a:rPr>
            <a:t>Span Length= 250</a:t>
          </a:r>
        </a:p>
        <a:p>
          <a:pPr algn="ctr"/>
          <a:r>
            <a:rPr lang="en-US" sz="800">
              <a:latin typeface="Times New Roman" panose="02020603050405020304" pitchFamily="18" charset="0"/>
              <a:cs typeface="Times New Roman" panose="02020603050405020304" pitchFamily="18" charset="0"/>
            </a:rPr>
            <a:t>Min. Radius Of Curvature =400</a:t>
          </a:r>
          <a:endParaRPr lang="en-US" sz="800"/>
        </a:p>
      </dgm:t>
    </dgm:pt>
    <dgm:pt modelId="{0F74B345-1A42-4A79-960C-3B92051C7431}" type="parTrans" cxnId="{1BEC231A-1434-4A03-BB46-6FD102207F26}">
      <dgm:prSet/>
      <dgm:spPr/>
      <dgm:t>
        <a:bodyPr/>
        <a:lstStyle/>
        <a:p>
          <a:pPr algn="ctr"/>
          <a:endParaRPr lang="en-US" sz="800"/>
        </a:p>
      </dgm:t>
    </dgm:pt>
    <dgm:pt modelId="{C8069484-CBCF-40A4-B6B0-8348117A936D}" type="sibTrans" cxnId="{1BEC231A-1434-4A03-BB46-6FD102207F26}">
      <dgm:prSet/>
      <dgm:spPr/>
      <dgm:t>
        <a:bodyPr/>
        <a:lstStyle/>
        <a:p>
          <a:pPr algn="ctr"/>
          <a:endParaRPr lang="en-US" sz="800"/>
        </a:p>
      </dgm:t>
    </dgm:pt>
    <dgm:pt modelId="{D4FC5D5C-0EBD-42B1-BE52-3CAAB97B2A9F}">
      <dgm:prSet custT="1"/>
      <dgm:spPr/>
      <dgm:t>
        <a:bodyPr/>
        <a:lstStyle/>
        <a:p>
          <a:pPr algn="ctr"/>
          <a:r>
            <a:rPr lang="en-US" sz="800">
              <a:latin typeface="Times New Roman" panose="02020603050405020304" pitchFamily="18" charset="0"/>
              <a:cs typeface="Times New Roman" panose="02020603050405020304" pitchFamily="18" charset="0"/>
            </a:rPr>
            <a:t>Span Length= 150</a:t>
          </a:r>
        </a:p>
        <a:p>
          <a:pPr algn="ctr"/>
          <a:r>
            <a:rPr lang="en-US" sz="800">
              <a:latin typeface="Times New Roman" panose="02020603050405020304" pitchFamily="18" charset="0"/>
              <a:cs typeface="Times New Roman" panose="02020603050405020304" pitchFamily="18" charset="0"/>
            </a:rPr>
            <a:t>Min. Radius Of Curvature =175</a:t>
          </a:r>
          <a:endParaRPr lang="en-US" sz="800"/>
        </a:p>
      </dgm:t>
    </dgm:pt>
    <dgm:pt modelId="{7F73A627-526C-4010-BA34-596FB67E920B}" type="parTrans" cxnId="{3D7295E8-B604-4AC3-BD73-E8FDA9DF6059}">
      <dgm:prSet/>
      <dgm:spPr/>
      <dgm:t>
        <a:bodyPr/>
        <a:lstStyle/>
        <a:p>
          <a:pPr algn="ctr"/>
          <a:endParaRPr lang="en-US" sz="800"/>
        </a:p>
      </dgm:t>
    </dgm:pt>
    <dgm:pt modelId="{AAED081F-CE68-4236-87FA-6BFFCCA6EACB}" type="sibTrans" cxnId="{3D7295E8-B604-4AC3-BD73-E8FDA9DF6059}">
      <dgm:prSet/>
      <dgm:spPr/>
      <dgm:t>
        <a:bodyPr/>
        <a:lstStyle/>
        <a:p>
          <a:pPr algn="ctr"/>
          <a:endParaRPr lang="en-US" sz="800"/>
        </a:p>
      </dgm:t>
    </dgm:pt>
    <dgm:pt modelId="{544E59C6-AFF6-42F5-8E9E-2D609A97B64D}">
      <dgm:prSet custT="1"/>
      <dgm:spPr/>
      <dgm:t>
        <a:bodyPr/>
        <a:lstStyle/>
        <a:p>
          <a:pPr algn="ctr"/>
          <a:r>
            <a:rPr lang="en-US" sz="800">
              <a:latin typeface="Times New Roman" panose="02020603050405020304" pitchFamily="18" charset="0"/>
              <a:cs typeface="Times New Roman" panose="02020603050405020304" pitchFamily="18" charset="0"/>
            </a:rPr>
            <a:t>Span Length= 200</a:t>
          </a:r>
        </a:p>
        <a:p>
          <a:pPr algn="ctr"/>
          <a:r>
            <a:rPr lang="en-US" sz="800">
              <a:latin typeface="Times New Roman" panose="02020603050405020304" pitchFamily="18" charset="0"/>
              <a:cs typeface="Times New Roman" panose="02020603050405020304" pitchFamily="18" charset="0"/>
            </a:rPr>
            <a:t>Min. Radius Of Curvature =280</a:t>
          </a:r>
          <a:endParaRPr lang="en-US" sz="800"/>
        </a:p>
      </dgm:t>
    </dgm:pt>
    <dgm:pt modelId="{37ED5097-02E5-40C3-BCEE-3F67460B3F57}" type="parTrans" cxnId="{055D28B9-7E7A-4432-9AE5-78FF5E31846A}">
      <dgm:prSet/>
      <dgm:spPr/>
      <dgm:t>
        <a:bodyPr/>
        <a:lstStyle/>
        <a:p>
          <a:pPr algn="ctr"/>
          <a:endParaRPr lang="en-US" sz="800"/>
        </a:p>
      </dgm:t>
    </dgm:pt>
    <dgm:pt modelId="{712DE10F-F956-40FD-9AB0-E6F3BC7A2C43}" type="sibTrans" cxnId="{055D28B9-7E7A-4432-9AE5-78FF5E31846A}">
      <dgm:prSet/>
      <dgm:spPr/>
      <dgm:t>
        <a:bodyPr/>
        <a:lstStyle/>
        <a:p>
          <a:pPr algn="ctr"/>
          <a:endParaRPr lang="en-US" sz="800"/>
        </a:p>
      </dgm:t>
    </dgm:pt>
    <dgm:pt modelId="{EB7A9F82-8A3A-4B6F-BF50-B38D76FA5C9E}">
      <dgm:prSet custT="1"/>
      <dgm:spPr/>
      <dgm:t>
        <a:bodyPr/>
        <a:lstStyle/>
        <a:p>
          <a:pPr algn="ctr"/>
          <a:r>
            <a:rPr lang="en-US" sz="800">
              <a:latin typeface="Times New Roman" panose="02020603050405020304" pitchFamily="18" charset="0"/>
              <a:cs typeface="Times New Roman" panose="02020603050405020304" pitchFamily="18" charset="0"/>
            </a:rPr>
            <a:t>Span Length= 300</a:t>
          </a:r>
        </a:p>
        <a:p>
          <a:pPr algn="ctr"/>
          <a:r>
            <a:rPr lang="en-US" sz="800">
              <a:latin typeface="Times New Roman" panose="02020603050405020304" pitchFamily="18" charset="0"/>
              <a:cs typeface="Times New Roman" panose="02020603050405020304" pitchFamily="18" charset="0"/>
            </a:rPr>
            <a:t>Min. Radius Of Curvature =490</a:t>
          </a:r>
          <a:endParaRPr lang="en-US" sz="800"/>
        </a:p>
      </dgm:t>
    </dgm:pt>
    <dgm:pt modelId="{3D0D060B-C131-46F2-899B-75226BC212AC}" type="parTrans" cxnId="{CEC590BA-C112-4921-A72A-D3045E42C7C9}">
      <dgm:prSet/>
      <dgm:spPr/>
      <dgm:t>
        <a:bodyPr/>
        <a:lstStyle/>
        <a:p>
          <a:pPr algn="ctr"/>
          <a:endParaRPr lang="en-US" sz="800"/>
        </a:p>
      </dgm:t>
    </dgm:pt>
    <dgm:pt modelId="{DF5D9D61-5CA0-4063-8F3D-DAB00EBD967C}" type="sibTrans" cxnId="{CEC590BA-C112-4921-A72A-D3045E42C7C9}">
      <dgm:prSet/>
      <dgm:spPr/>
      <dgm:t>
        <a:bodyPr/>
        <a:lstStyle/>
        <a:p>
          <a:pPr algn="ctr"/>
          <a:endParaRPr lang="en-US" sz="800"/>
        </a:p>
      </dgm:t>
    </dgm:pt>
    <dgm:pt modelId="{F40A1592-8468-4EB4-BB2C-7A1F239AE1F0}">
      <dgm:prSet custT="1"/>
      <dgm:spPr/>
      <dgm:t>
        <a:bodyPr/>
        <a:lstStyle/>
        <a:p>
          <a:pPr algn="ctr"/>
          <a:r>
            <a:rPr lang="en-US" sz="800">
              <a:latin typeface="Times New Roman" panose="02020603050405020304" pitchFamily="18" charset="0"/>
              <a:cs typeface="Times New Roman" panose="02020603050405020304" pitchFamily="18" charset="0"/>
            </a:rPr>
            <a:t>Span Length= 400</a:t>
          </a:r>
        </a:p>
        <a:p>
          <a:pPr algn="ctr"/>
          <a:r>
            <a:rPr lang="en-US" sz="800">
              <a:latin typeface="Times New Roman" panose="02020603050405020304" pitchFamily="18" charset="0"/>
              <a:cs typeface="Times New Roman" panose="02020603050405020304" pitchFamily="18" charset="0"/>
            </a:rPr>
            <a:t>Min. Radius Of Curvature =774</a:t>
          </a:r>
          <a:endParaRPr lang="en-US" sz="800"/>
        </a:p>
      </dgm:t>
    </dgm:pt>
    <dgm:pt modelId="{91D83E1E-4874-47D8-8861-8FF8D9B3B91A}" type="parTrans" cxnId="{1407653D-5464-4E6C-A9C7-C42E83F19713}">
      <dgm:prSet/>
      <dgm:spPr/>
      <dgm:t>
        <a:bodyPr/>
        <a:lstStyle/>
        <a:p>
          <a:pPr algn="ctr"/>
          <a:endParaRPr lang="en-US" sz="800"/>
        </a:p>
      </dgm:t>
    </dgm:pt>
    <dgm:pt modelId="{DAA02B9A-A294-4E0F-8F0C-E91C5E991A85}" type="sibTrans" cxnId="{1407653D-5464-4E6C-A9C7-C42E83F19713}">
      <dgm:prSet/>
      <dgm:spPr/>
      <dgm:t>
        <a:bodyPr/>
        <a:lstStyle/>
        <a:p>
          <a:pPr algn="ctr"/>
          <a:endParaRPr lang="en-US" sz="800"/>
        </a:p>
      </dgm:t>
    </dgm:pt>
    <dgm:pt modelId="{C5B6BF4C-FB9B-4228-A007-70D42F4BC28F}" type="pres">
      <dgm:prSet presAssocID="{D63FB381-698B-4BDF-932A-8C3A11C7142D}" presName="hierChild1" presStyleCnt="0">
        <dgm:presLayoutVars>
          <dgm:orgChart val="1"/>
          <dgm:chPref val="1"/>
          <dgm:dir/>
          <dgm:animOne val="branch"/>
          <dgm:animLvl val="lvl"/>
          <dgm:resizeHandles/>
        </dgm:presLayoutVars>
      </dgm:prSet>
      <dgm:spPr/>
      <dgm:t>
        <a:bodyPr/>
        <a:lstStyle/>
        <a:p>
          <a:endParaRPr lang="en-US"/>
        </a:p>
      </dgm:t>
    </dgm:pt>
    <dgm:pt modelId="{E4DA4160-8B07-4122-A866-77F3AEE3F33B}" type="pres">
      <dgm:prSet presAssocID="{2B333532-5D0C-43D7-B0B5-75564AED8497}" presName="hierRoot1" presStyleCnt="0">
        <dgm:presLayoutVars>
          <dgm:hierBranch val="init"/>
        </dgm:presLayoutVars>
      </dgm:prSet>
      <dgm:spPr/>
    </dgm:pt>
    <dgm:pt modelId="{67F0A44D-16C3-42B1-A668-6C9B2440EAA8}" type="pres">
      <dgm:prSet presAssocID="{2B333532-5D0C-43D7-B0B5-75564AED8497}" presName="rootComposite1" presStyleCnt="0"/>
      <dgm:spPr/>
    </dgm:pt>
    <dgm:pt modelId="{12D31FF2-CCC6-401E-8148-C6B1FE673039}" type="pres">
      <dgm:prSet presAssocID="{2B333532-5D0C-43D7-B0B5-75564AED8497}" presName="rootText1" presStyleLbl="node0" presStyleIdx="0" presStyleCnt="1" custLinFactNeighborX="-28518" custLinFactNeighborY="13288">
        <dgm:presLayoutVars>
          <dgm:chPref val="3"/>
        </dgm:presLayoutVars>
      </dgm:prSet>
      <dgm:spPr/>
      <dgm:t>
        <a:bodyPr/>
        <a:lstStyle/>
        <a:p>
          <a:endParaRPr lang="en-US"/>
        </a:p>
      </dgm:t>
    </dgm:pt>
    <dgm:pt modelId="{3003F140-73FB-4118-8E51-DF887D1AB121}" type="pres">
      <dgm:prSet presAssocID="{2B333532-5D0C-43D7-B0B5-75564AED8497}" presName="rootConnector1" presStyleLbl="node1" presStyleIdx="0" presStyleCnt="0"/>
      <dgm:spPr/>
      <dgm:t>
        <a:bodyPr/>
        <a:lstStyle/>
        <a:p>
          <a:endParaRPr lang="en-US"/>
        </a:p>
      </dgm:t>
    </dgm:pt>
    <dgm:pt modelId="{AF215234-0A11-49D5-BBEF-AF810E1F6FEB}" type="pres">
      <dgm:prSet presAssocID="{2B333532-5D0C-43D7-B0B5-75564AED8497}" presName="hierChild2" presStyleCnt="0"/>
      <dgm:spPr/>
    </dgm:pt>
    <dgm:pt modelId="{425F87ED-208C-490B-98E5-2439C02351BE}" type="pres">
      <dgm:prSet presAssocID="{2B333532-5D0C-43D7-B0B5-75564AED8497}" presName="hierChild3" presStyleCnt="0"/>
      <dgm:spPr/>
    </dgm:pt>
    <dgm:pt modelId="{E8D23E0A-9D67-44E4-BB44-72CE6B3C34A5}" type="pres">
      <dgm:prSet presAssocID="{B80E6569-7518-40F9-82BB-C818F7DEA0FE}" presName="Name111" presStyleLbl="parChTrans1D2" presStyleIdx="0" presStyleCnt="2"/>
      <dgm:spPr/>
      <dgm:t>
        <a:bodyPr/>
        <a:lstStyle/>
        <a:p>
          <a:endParaRPr lang="en-US"/>
        </a:p>
      </dgm:t>
    </dgm:pt>
    <dgm:pt modelId="{49980EA8-ADEF-43FF-BC3D-C6420E535BE7}" type="pres">
      <dgm:prSet presAssocID="{D4CF1D91-B426-4397-A288-F38211FF617E}" presName="hierRoot3" presStyleCnt="0">
        <dgm:presLayoutVars>
          <dgm:hierBranch val="init"/>
        </dgm:presLayoutVars>
      </dgm:prSet>
      <dgm:spPr/>
    </dgm:pt>
    <dgm:pt modelId="{EE629F42-00F8-4BFC-890B-DD3A115E5D30}" type="pres">
      <dgm:prSet presAssocID="{D4CF1D91-B426-4397-A288-F38211FF617E}" presName="rootComposite3" presStyleCnt="0"/>
      <dgm:spPr/>
    </dgm:pt>
    <dgm:pt modelId="{617B3BAA-EE70-470C-8A5F-CC8C9092F754}" type="pres">
      <dgm:prSet presAssocID="{D4CF1D91-B426-4397-A288-F38211FF617E}" presName="rootText3" presStyleLbl="asst1" presStyleIdx="0" presStyleCnt="7" custLinFactNeighborX="4174" custLinFactNeighborY="13282">
        <dgm:presLayoutVars>
          <dgm:chPref val="3"/>
        </dgm:presLayoutVars>
      </dgm:prSet>
      <dgm:spPr/>
      <dgm:t>
        <a:bodyPr/>
        <a:lstStyle/>
        <a:p>
          <a:endParaRPr lang="en-US"/>
        </a:p>
      </dgm:t>
    </dgm:pt>
    <dgm:pt modelId="{7A364100-349F-40E0-B3B9-8621A6E1F981}" type="pres">
      <dgm:prSet presAssocID="{D4CF1D91-B426-4397-A288-F38211FF617E}" presName="rootConnector3" presStyleLbl="asst1" presStyleIdx="0" presStyleCnt="7"/>
      <dgm:spPr/>
      <dgm:t>
        <a:bodyPr/>
        <a:lstStyle/>
        <a:p>
          <a:endParaRPr lang="en-US"/>
        </a:p>
      </dgm:t>
    </dgm:pt>
    <dgm:pt modelId="{C1EAE7DC-3405-4A56-96B9-F8733934EEDD}" type="pres">
      <dgm:prSet presAssocID="{D4CF1D91-B426-4397-A288-F38211FF617E}" presName="hierChild6" presStyleCnt="0"/>
      <dgm:spPr/>
    </dgm:pt>
    <dgm:pt modelId="{1737F8D0-3858-403C-AB0C-C46FF6668FFB}" type="pres">
      <dgm:prSet presAssocID="{D4CF1D91-B426-4397-A288-F38211FF617E}" presName="hierChild7" presStyleCnt="0"/>
      <dgm:spPr/>
    </dgm:pt>
    <dgm:pt modelId="{906579E3-44A7-4CE0-AE1C-ECC567DA0E3D}" type="pres">
      <dgm:prSet presAssocID="{6D59B5C4-050D-4E98-9028-072951547558}" presName="Name111" presStyleLbl="parChTrans1D3" presStyleIdx="0" presStyleCnt="10"/>
      <dgm:spPr/>
      <dgm:t>
        <a:bodyPr/>
        <a:lstStyle/>
        <a:p>
          <a:endParaRPr lang="en-US"/>
        </a:p>
      </dgm:t>
    </dgm:pt>
    <dgm:pt modelId="{600DD568-EFB5-40F0-BEC4-5201FD200FFD}" type="pres">
      <dgm:prSet presAssocID="{49444837-CDE3-4CD5-A546-CA4E934F77CD}" presName="hierRoot3" presStyleCnt="0">
        <dgm:presLayoutVars>
          <dgm:hierBranch val="init"/>
        </dgm:presLayoutVars>
      </dgm:prSet>
      <dgm:spPr/>
    </dgm:pt>
    <dgm:pt modelId="{DC4551D5-0C2A-413A-A8FF-34EC0526D419}" type="pres">
      <dgm:prSet presAssocID="{49444837-CDE3-4CD5-A546-CA4E934F77CD}" presName="rootComposite3" presStyleCnt="0"/>
      <dgm:spPr/>
    </dgm:pt>
    <dgm:pt modelId="{624C1FCF-4F87-4A1A-A6F4-E86DF15743A0}" type="pres">
      <dgm:prSet presAssocID="{49444837-CDE3-4CD5-A546-CA4E934F77CD}" presName="rootText3" presStyleLbl="asst1" presStyleIdx="1" presStyleCnt="7" custLinFactX="-28585" custLinFactY="268643" custLinFactNeighborX="-100000" custLinFactNeighborY="300000">
        <dgm:presLayoutVars>
          <dgm:chPref val="3"/>
        </dgm:presLayoutVars>
      </dgm:prSet>
      <dgm:spPr/>
      <dgm:t>
        <a:bodyPr/>
        <a:lstStyle/>
        <a:p>
          <a:endParaRPr lang="en-US"/>
        </a:p>
      </dgm:t>
    </dgm:pt>
    <dgm:pt modelId="{ACBA94A7-4002-45B3-9DE9-1715DFAE1AB4}" type="pres">
      <dgm:prSet presAssocID="{49444837-CDE3-4CD5-A546-CA4E934F77CD}" presName="rootConnector3" presStyleLbl="asst1" presStyleIdx="1" presStyleCnt="7"/>
      <dgm:spPr/>
      <dgm:t>
        <a:bodyPr/>
        <a:lstStyle/>
        <a:p>
          <a:endParaRPr lang="en-US"/>
        </a:p>
      </dgm:t>
    </dgm:pt>
    <dgm:pt modelId="{0E1057B7-5ED5-447B-8358-FA8F1974843E}" type="pres">
      <dgm:prSet presAssocID="{49444837-CDE3-4CD5-A546-CA4E934F77CD}" presName="hierChild6" presStyleCnt="0"/>
      <dgm:spPr/>
    </dgm:pt>
    <dgm:pt modelId="{A727BB65-EB9A-4F0F-A2F2-0E4BE8C8E611}" type="pres">
      <dgm:prSet presAssocID="{49444837-CDE3-4CD5-A546-CA4E934F77CD}" presName="hierChild7" presStyleCnt="0"/>
      <dgm:spPr/>
    </dgm:pt>
    <dgm:pt modelId="{96E32949-427C-4696-9071-43FE1003DAB7}" type="pres">
      <dgm:prSet presAssocID="{60A08E6F-AFB4-401C-AD10-8A64A19A6396}" presName="Name111" presStyleLbl="parChTrans1D3" presStyleIdx="1" presStyleCnt="10"/>
      <dgm:spPr/>
      <dgm:t>
        <a:bodyPr/>
        <a:lstStyle/>
        <a:p>
          <a:endParaRPr lang="en-US"/>
        </a:p>
      </dgm:t>
    </dgm:pt>
    <dgm:pt modelId="{86F45469-3DE0-4E3D-BA77-E5AAD7F881BD}" type="pres">
      <dgm:prSet presAssocID="{93568E90-565D-4234-82BA-531E2B239C5E}" presName="hierRoot3" presStyleCnt="0">
        <dgm:presLayoutVars>
          <dgm:hierBranch val="init"/>
        </dgm:presLayoutVars>
      </dgm:prSet>
      <dgm:spPr/>
    </dgm:pt>
    <dgm:pt modelId="{14C79D86-F081-45F1-A3D8-1FF36994C7F0}" type="pres">
      <dgm:prSet presAssocID="{93568E90-565D-4234-82BA-531E2B239C5E}" presName="rootComposite3" presStyleCnt="0"/>
      <dgm:spPr/>
    </dgm:pt>
    <dgm:pt modelId="{A7DADB44-516E-4CBB-9837-25EC9CD1C35A}" type="pres">
      <dgm:prSet presAssocID="{93568E90-565D-4234-82BA-531E2B239C5E}" presName="rootText3" presStyleLbl="asst1" presStyleIdx="2" presStyleCnt="7" custLinFactX="-48261" custLinFactY="200000" custLinFactNeighborX="-100000" custLinFactNeighborY="235892">
        <dgm:presLayoutVars>
          <dgm:chPref val="3"/>
        </dgm:presLayoutVars>
      </dgm:prSet>
      <dgm:spPr/>
      <dgm:t>
        <a:bodyPr/>
        <a:lstStyle/>
        <a:p>
          <a:endParaRPr lang="en-US"/>
        </a:p>
      </dgm:t>
    </dgm:pt>
    <dgm:pt modelId="{A7879BF4-2BCB-43AE-AB35-BAA4150EE65F}" type="pres">
      <dgm:prSet presAssocID="{93568E90-565D-4234-82BA-531E2B239C5E}" presName="rootConnector3" presStyleLbl="asst1" presStyleIdx="2" presStyleCnt="7"/>
      <dgm:spPr/>
      <dgm:t>
        <a:bodyPr/>
        <a:lstStyle/>
        <a:p>
          <a:endParaRPr lang="en-US"/>
        </a:p>
      </dgm:t>
    </dgm:pt>
    <dgm:pt modelId="{0ECC5067-EB6B-4653-B210-FA753849A7A9}" type="pres">
      <dgm:prSet presAssocID="{93568E90-565D-4234-82BA-531E2B239C5E}" presName="hierChild6" presStyleCnt="0"/>
      <dgm:spPr/>
    </dgm:pt>
    <dgm:pt modelId="{1107424D-5560-4A06-B820-DB5525BF1F03}" type="pres">
      <dgm:prSet presAssocID="{93568E90-565D-4234-82BA-531E2B239C5E}" presName="hierChild7" presStyleCnt="0"/>
      <dgm:spPr/>
    </dgm:pt>
    <dgm:pt modelId="{6CA67745-2B1A-4C4E-89D9-415074D149F3}" type="pres">
      <dgm:prSet presAssocID="{E71CD468-8379-4D05-B608-68699A899A35}" presName="Name111" presStyleLbl="parChTrans1D3" presStyleIdx="2" presStyleCnt="10"/>
      <dgm:spPr/>
      <dgm:t>
        <a:bodyPr/>
        <a:lstStyle/>
        <a:p>
          <a:endParaRPr lang="en-US"/>
        </a:p>
      </dgm:t>
    </dgm:pt>
    <dgm:pt modelId="{BA135C41-5D8D-4A96-96C6-FD708D99B84C}" type="pres">
      <dgm:prSet presAssocID="{8B706184-CA3F-4044-B94A-C535D61CCDB9}" presName="hierRoot3" presStyleCnt="0">
        <dgm:presLayoutVars>
          <dgm:hierBranch val="init"/>
        </dgm:presLayoutVars>
      </dgm:prSet>
      <dgm:spPr/>
    </dgm:pt>
    <dgm:pt modelId="{022CCCD3-FB16-4FEC-9A83-90F52E30BEFE}" type="pres">
      <dgm:prSet presAssocID="{8B706184-CA3F-4044-B94A-C535D61CCDB9}" presName="rootComposite3" presStyleCnt="0"/>
      <dgm:spPr/>
    </dgm:pt>
    <dgm:pt modelId="{F248FCCA-9EAE-4382-83CE-72D5DC9137B1}" type="pres">
      <dgm:prSet presAssocID="{8B706184-CA3F-4044-B94A-C535D61CCDB9}" presName="rootText3" presStyleLbl="asst1" presStyleIdx="3" presStyleCnt="7" custLinFactY="63812" custLinFactNeighborX="-27261" custLinFactNeighborY="100000">
        <dgm:presLayoutVars>
          <dgm:chPref val="3"/>
        </dgm:presLayoutVars>
      </dgm:prSet>
      <dgm:spPr/>
      <dgm:t>
        <a:bodyPr/>
        <a:lstStyle/>
        <a:p>
          <a:endParaRPr lang="en-US"/>
        </a:p>
      </dgm:t>
    </dgm:pt>
    <dgm:pt modelId="{55D5C240-7850-4AF6-A876-A424F99B599E}" type="pres">
      <dgm:prSet presAssocID="{8B706184-CA3F-4044-B94A-C535D61CCDB9}" presName="rootConnector3" presStyleLbl="asst1" presStyleIdx="3" presStyleCnt="7"/>
      <dgm:spPr/>
      <dgm:t>
        <a:bodyPr/>
        <a:lstStyle/>
        <a:p>
          <a:endParaRPr lang="en-US"/>
        </a:p>
      </dgm:t>
    </dgm:pt>
    <dgm:pt modelId="{9F67EF83-8455-45B9-B069-EA1C2A170827}" type="pres">
      <dgm:prSet presAssocID="{8B706184-CA3F-4044-B94A-C535D61CCDB9}" presName="hierChild6" presStyleCnt="0"/>
      <dgm:spPr/>
    </dgm:pt>
    <dgm:pt modelId="{DA76B8BC-EBCC-4719-875A-FD40B949AF06}" type="pres">
      <dgm:prSet presAssocID="{8B706184-CA3F-4044-B94A-C535D61CCDB9}" presName="hierChild7" presStyleCnt="0"/>
      <dgm:spPr/>
    </dgm:pt>
    <dgm:pt modelId="{85DA2353-758B-419C-B8C8-4AB86EA05B75}" type="pres">
      <dgm:prSet presAssocID="{745E2568-CDB9-40E9-8C26-DC82C7FC3BCA}" presName="Name111" presStyleLbl="parChTrans1D3" presStyleIdx="3" presStyleCnt="10"/>
      <dgm:spPr/>
      <dgm:t>
        <a:bodyPr/>
        <a:lstStyle/>
        <a:p>
          <a:endParaRPr lang="en-US"/>
        </a:p>
      </dgm:t>
    </dgm:pt>
    <dgm:pt modelId="{9A143E4E-65DE-483C-8D4A-0DB3090CEC31}" type="pres">
      <dgm:prSet presAssocID="{8C9614F9-577C-4B24-A53A-3A63BCE19859}" presName="hierRoot3" presStyleCnt="0">
        <dgm:presLayoutVars>
          <dgm:hierBranch val="init"/>
        </dgm:presLayoutVars>
      </dgm:prSet>
      <dgm:spPr/>
    </dgm:pt>
    <dgm:pt modelId="{BEF35F7A-D79A-40A1-A8F6-83032BE667C4}" type="pres">
      <dgm:prSet presAssocID="{8C9614F9-577C-4B24-A53A-3A63BCE19859}" presName="rootComposite3" presStyleCnt="0"/>
      <dgm:spPr/>
    </dgm:pt>
    <dgm:pt modelId="{7F3E6A68-64D2-45C4-A35C-E2200885389C}" type="pres">
      <dgm:prSet presAssocID="{8C9614F9-577C-4B24-A53A-3A63BCE19859}" presName="rootText3" presStyleLbl="asst1" presStyleIdx="4" presStyleCnt="7" custLinFactX="-48261" custLinFactNeighborX="-100000" custLinFactNeighborY="31187">
        <dgm:presLayoutVars>
          <dgm:chPref val="3"/>
        </dgm:presLayoutVars>
      </dgm:prSet>
      <dgm:spPr/>
      <dgm:t>
        <a:bodyPr/>
        <a:lstStyle/>
        <a:p>
          <a:endParaRPr lang="en-US"/>
        </a:p>
      </dgm:t>
    </dgm:pt>
    <dgm:pt modelId="{4EC3F407-B0A3-4968-A510-DFD073DF4F6C}" type="pres">
      <dgm:prSet presAssocID="{8C9614F9-577C-4B24-A53A-3A63BCE19859}" presName="rootConnector3" presStyleLbl="asst1" presStyleIdx="4" presStyleCnt="7"/>
      <dgm:spPr/>
      <dgm:t>
        <a:bodyPr/>
        <a:lstStyle/>
        <a:p>
          <a:endParaRPr lang="en-US"/>
        </a:p>
      </dgm:t>
    </dgm:pt>
    <dgm:pt modelId="{33356255-70F3-493B-B0B3-50B66701914E}" type="pres">
      <dgm:prSet presAssocID="{8C9614F9-577C-4B24-A53A-3A63BCE19859}" presName="hierChild6" presStyleCnt="0"/>
      <dgm:spPr/>
    </dgm:pt>
    <dgm:pt modelId="{B62CAF23-675E-43A7-BDA8-3B87228A6A7D}" type="pres">
      <dgm:prSet presAssocID="{8C9614F9-577C-4B24-A53A-3A63BCE19859}" presName="hierChild7" presStyleCnt="0"/>
      <dgm:spPr/>
    </dgm:pt>
    <dgm:pt modelId="{1274BB92-A1E9-44E0-B9DE-ED2061249849}" type="pres">
      <dgm:prSet presAssocID="{9FA40FFD-6851-483E-8499-A3A1CF13506D}" presName="Name111" presStyleLbl="parChTrans1D3" presStyleIdx="4" presStyleCnt="10"/>
      <dgm:spPr/>
      <dgm:t>
        <a:bodyPr/>
        <a:lstStyle/>
        <a:p>
          <a:endParaRPr lang="en-US"/>
        </a:p>
      </dgm:t>
    </dgm:pt>
    <dgm:pt modelId="{C2E93B89-9BC0-4045-BD51-0C0741A87E15}" type="pres">
      <dgm:prSet presAssocID="{235C175D-5845-4FC8-8D98-442EABAD697B}" presName="hierRoot3" presStyleCnt="0">
        <dgm:presLayoutVars>
          <dgm:hierBranch val="init"/>
        </dgm:presLayoutVars>
      </dgm:prSet>
      <dgm:spPr/>
    </dgm:pt>
    <dgm:pt modelId="{0997DD57-85A1-4961-80AA-C3D5B58B01BE}" type="pres">
      <dgm:prSet presAssocID="{235C175D-5845-4FC8-8D98-442EABAD697B}" presName="rootComposite3" presStyleCnt="0"/>
      <dgm:spPr/>
    </dgm:pt>
    <dgm:pt modelId="{80D8296F-031E-491F-A36B-8CBAD5A002E7}" type="pres">
      <dgm:prSet presAssocID="{235C175D-5845-4FC8-8D98-442EABAD697B}" presName="rootText3" presStyleLbl="asst1" presStyleIdx="5" presStyleCnt="7" custLinFactY="-100000" custLinFactNeighborX="-27261" custLinFactNeighborY="-145084">
        <dgm:presLayoutVars>
          <dgm:chPref val="3"/>
        </dgm:presLayoutVars>
      </dgm:prSet>
      <dgm:spPr/>
      <dgm:t>
        <a:bodyPr/>
        <a:lstStyle/>
        <a:p>
          <a:endParaRPr lang="en-US"/>
        </a:p>
      </dgm:t>
    </dgm:pt>
    <dgm:pt modelId="{79F34448-C8E0-47B3-AE94-4A1725D28773}" type="pres">
      <dgm:prSet presAssocID="{235C175D-5845-4FC8-8D98-442EABAD697B}" presName="rootConnector3" presStyleLbl="asst1" presStyleIdx="5" presStyleCnt="7"/>
      <dgm:spPr/>
      <dgm:t>
        <a:bodyPr/>
        <a:lstStyle/>
        <a:p>
          <a:endParaRPr lang="en-US"/>
        </a:p>
      </dgm:t>
    </dgm:pt>
    <dgm:pt modelId="{268CCBE6-A2A5-4D75-9F86-B786C9EE1699}" type="pres">
      <dgm:prSet presAssocID="{235C175D-5845-4FC8-8D98-442EABAD697B}" presName="hierChild6" presStyleCnt="0"/>
      <dgm:spPr/>
    </dgm:pt>
    <dgm:pt modelId="{512A9864-2CAF-4374-BD60-79D88E0BD4FE}" type="pres">
      <dgm:prSet presAssocID="{235C175D-5845-4FC8-8D98-442EABAD697B}" presName="hierChild7" presStyleCnt="0"/>
      <dgm:spPr/>
    </dgm:pt>
    <dgm:pt modelId="{ABDF0A6F-692D-421F-A673-35EC208D56CD}" type="pres">
      <dgm:prSet presAssocID="{F7B93F52-52C4-4BE2-B1CF-4DA87F651F2E}" presName="Name111" presStyleLbl="parChTrans1D2" presStyleIdx="1" presStyleCnt="2"/>
      <dgm:spPr/>
      <dgm:t>
        <a:bodyPr/>
        <a:lstStyle/>
        <a:p>
          <a:endParaRPr lang="en-US"/>
        </a:p>
      </dgm:t>
    </dgm:pt>
    <dgm:pt modelId="{6ADB7C62-4E33-41AE-9A2E-282C66F16985}" type="pres">
      <dgm:prSet presAssocID="{0ECACD50-5F00-4857-A412-DAEADB96AB9C}" presName="hierRoot3" presStyleCnt="0">
        <dgm:presLayoutVars>
          <dgm:hierBranch val="init"/>
        </dgm:presLayoutVars>
      </dgm:prSet>
      <dgm:spPr/>
    </dgm:pt>
    <dgm:pt modelId="{94723E36-7957-4504-92CC-0380F0E8DF77}" type="pres">
      <dgm:prSet presAssocID="{0ECACD50-5F00-4857-A412-DAEADB96AB9C}" presName="rootComposite3" presStyleCnt="0"/>
      <dgm:spPr/>
    </dgm:pt>
    <dgm:pt modelId="{79060ADC-82AD-4572-AD82-D9F930BA09DC}" type="pres">
      <dgm:prSet presAssocID="{0ECACD50-5F00-4857-A412-DAEADB96AB9C}" presName="rootText3" presStyleLbl="asst1" presStyleIdx="6" presStyleCnt="7" custLinFactNeighborX="-2315" custLinFactNeighborY="13281">
        <dgm:presLayoutVars>
          <dgm:chPref val="3"/>
        </dgm:presLayoutVars>
      </dgm:prSet>
      <dgm:spPr/>
      <dgm:t>
        <a:bodyPr/>
        <a:lstStyle/>
        <a:p>
          <a:endParaRPr lang="en-US"/>
        </a:p>
      </dgm:t>
    </dgm:pt>
    <dgm:pt modelId="{D1E6D9AE-6DBA-4D0C-A879-A64EF2298524}" type="pres">
      <dgm:prSet presAssocID="{0ECACD50-5F00-4857-A412-DAEADB96AB9C}" presName="rootConnector3" presStyleLbl="asst1" presStyleIdx="6" presStyleCnt="7"/>
      <dgm:spPr/>
      <dgm:t>
        <a:bodyPr/>
        <a:lstStyle/>
        <a:p>
          <a:endParaRPr lang="en-US"/>
        </a:p>
      </dgm:t>
    </dgm:pt>
    <dgm:pt modelId="{C15BC7AC-EA31-49EE-A0C0-36EC4199D8F2}" type="pres">
      <dgm:prSet presAssocID="{0ECACD50-5F00-4857-A412-DAEADB96AB9C}" presName="hierChild6" presStyleCnt="0"/>
      <dgm:spPr/>
    </dgm:pt>
    <dgm:pt modelId="{ABB573FB-19DF-4B59-96F7-2A8D98CC536C}" type="pres">
      <dgm:prSet presAssocID="{0F74B345-1A42-4A79-960C-3B92051C7431}" presName="Name37" presStyleLbl="parChTrans1D3" presStyleIdx="5" presStyleCnt="10"/>
      <dgm:spPr/>
      <dgm:t>
        <a:bodyPr/>
        <a:lstStyle/>
        <a:p>
          <a:endParaRPr lang="en-US"/>
        </a:p>
      </dgm:t>
    </dgm:pt>
    <dgm:pt modelId="{0B958196-9FD0-4EBE-A204-6DD0F5F6D87C}" type="pres">
      <dgm:prSet presAssocID="{473B4E0C-9B14-455F-B402-E58804103EFC}" presName="hierRoot2" presStyleCnt="0">
        <dgm:presLayoutVars>
          <dgm:hierBranch val="init"/>
        </dgm:presLayoutVars>
      </dgm:prSet>
      <dgm:spPr/>
    </dgm:pt>
    <dgm:pt modelId="{1C9501D2-A31C-46EF-842D-9BAA6AD32FA2}" type="pres">
      <dgm:prSet presAssocID="{473B4E0C-9B14-455F-B402-E58804103EFC}" presName="rootComposite" presStyleCnt="0"/>
      <dgm:spPr/>
    </dgm:pt>
    <dgm:pt modelId="{21582E63-F31C-4122-A068-F57C60C90743}" type="pres">
      <dgm:prSet presAssocID="{473B4E0C-9B14-455F-B402-E58804103EFC}" presName="rootText" presStyleLbl="node3" presStyleIdx="0" presStyleCnt="5" custLinFactY="105931" custLinFactNeighborX="26607" custLinFactNeighborY="200000">
        <dgm:presLayoutVars>
          <dgm:chPref val="3"/>
        </dgm:presLayoutVars>
      </dgm:prSet>
      <dgm:spPr/>
      <dgm:t>
        <a:bodyPr/>
        <a:lstStyle/>
        <a:p>
          <a:endParaRPr lang="en-US"/>
        </a:p>
      </dgm:t>
    </dgm:pt>
    <dgm:pt modelId="{9EF7EA3F-6B74-4324-9EA7-E23DF49E9B83}" type="pres">
      <dgm:prSet presAssocID="{473B4E0C-9B14-455F-B402-E58804103EFC}" presName="rootConnector" presStyleLbl="node3" presStyleIdx="0" presStyleCnt="5"/>
      <dgm:spPr/>
      <dgm:t>
        <a:bodyPr/>
        <a:lstStyle/>
        <a:p>
          <a:endParaRPr lang="en-US"/>
        </a:p>
      </dgm:t>
    </dgm:pt>
    <dgm:pt modelId="{A38CF016-663A-4EA7-ADE8-EC22352EF75A}" type="pres">
      <dgm:prSet presAssocID="{473B4E0C-9B14-455F-B402-E58804103EFC}" presName="hierChild4" presStyleCnt="0"/>
      <dgm:spPr/>
    </dgm:pt>
    <dgm:pt modelId="{AFD03CC8-1C40-4E23-9AFE-0868F68D4407}" type="pres">
      <dgm:prSet presAssocID="{473B4E0C-9B14-455F-B402-E58804103EFC}" presName="hierChild5" presStyleCnt="0"/>
      <dgm:spPr/>
    </dgm:pt>
    <dgm:pt modelId="{42442B21-40CF-4611-8B6A-24B4FA85FD2B}" type="pres">
      <dgm:prSet presAssocID="{7F73A627-526C-4010-BA34-596FB67E920B}" presName="Name37" presStyleLbl="parChTrans1D3" presStyleIdx="6" presStyleCnt="10"/>
      <dgm:spPr/>
      <dgm:t>
        <a:bodyPr/>
        <a:lstStyle/>
        <a:p>
          <a:endParaRPr lang="en-US"/>
        </a:p>
      </dgm:t>
    </dgm:pt>
    <dgm:pt modelId="{A9184F3D-82F8-4993-ADDC-21105FA25F07}" type="pres">
      <dgm:prSet presAssocID="{D4FC5D5C-0EBD-42B1-BE52-3CAAB97B2A9F}" presName="hierRoot2" presStyleCnt="0">
        <dgm:presLayoutVars>
          <dgm:hierBranch val="init"/>
        </dgm:presLayoutVars>
      </dgm:prSet>
      <dgm:spPr/>
    </dgm:pt>
    <dgm:pt modelId="{685BB887-7A1C-44E1-8F82-A6BD1A2E3A95}" type="pres">
      <dgm:prSet presAssocID="{D4FC5D5C-0EBD-42B1-BE52-3CAAB97B2A9F}" presName="rootComposite" presStyleCnt="0"/>
      <dgm:spPr/>
    </dgm:pt>
    <dgm:pt modelId="{DE1F9070-40FB-4A65-A79A-CD741FA57E7B}" type="pres">
      <dgm:prSet presAssocID="{D4FC5D5C-0EBD-42B1-BE52-3CAAB97B2A9F}" presName="rootText" presStyleLbl="node3" presStyleIdx="1" presStyleCnt="5" custLinFactY="-3300" custLinFactNeighborX="27261" custLinFactNeighborY="-100000">
        <dgm:presLayoutVars>
          <dgm:chPref val="3"/>
        </dgm:presLayoutVars>
      </dgm:prSet>
      <dgm:spPr/>
      <dgm:t>
        <a:bodyPr/>
        <a:lstStyle/>
        <a:p>
          <a:endParaRPr lang="en-US"/>
        </a:p>
      </dgm:t>
    </dgm:pt>
    <dgm:pt modelId="{24235395-E0CC-4F5F-AE88-8539892753CC}" type="pres">
      <dgm:prSet presAssocID="{D4FC5D5C-0EBD-42B1-BE52-3CAAB97B2A9F}" presName="rootConnector" presStyleLbl="node3" presStyleIdx="1" presStyleCnt="5"/>
      <dgm:spPr/>
      <dgm:t>
        <a:bodyPr/>
        <a:lstStyle/>
        <a:p>
          <a:endParaRPr lang="en-US"/>
        </a:p>
      </dgm:t>
    </dgm:pt>
    <dgm:pt modelId="{F4B7E6AB-1092-4994-90A6-8119DF5CB927}" type="pres">
      <dgm:prSet presAssocID="{D4FC5D5C-0EBD-42B1-BE52-3CAAB97B2A9F}" presName="hierChild4" presStyleCnt="0"/>
      <dgm:spPr/>
    </dgm:pt>
    <dgm:pt modelId="{E17C543A-48AC-4CE5-ACEE-A0A289582BB6}" type="pres">
      <dgm:prSet presAssocID="{D4FC5D5C-0EBD-42B1-BE52-3CAAB97B2A9F}" presName="hierChild5" presStyleCnt="0"/>
      <dgm:spPr/>
    </dgm:pt>
    <dgm:pt modelId="{D2F5C2BA-7A15-46E1-B013-2769DF60115B}" type="pres">
      <dgm:prSet presAssocID="{37ED5097-02E5-40C3-BCEE-3F67460B3F57}" presName="Name37" presStyleLbl="parChTrans1D3" presStyleIdx="7" presStyleCnt="10"/>
      <dgm:spPr/>
      <dgm:t>
        <a:bodyPr/>
        <a:lstStyle/>
        <a:p>
          <a:endParaRPr lang="en-US"/>
        </a:p>
      </dgm:t>
    </dgm:pt>
    <dgm:pt modelId="{20647798-18A6-4295-86E8-229BC0C1E7A0}" type="pres">
      <dgm:prSet presAssocID="{544E59C6-AFF6-42F5-8E9E-2D609A97B64D}" presName="hierRoot2" presStyleCnt="0">
        <dgm:presLayoutVars>
          <dgm:hierBranch val="init"/>
        </dgm:presLayoutVars>
      </dgm:prSet>
      <dgm:spPr/>
    </dgm:pt>
    <dgm:pt modelId="{D615A88D-1889-460C-914D-8FADF02CBC39}" type="pres">
      <dgm:prSet presAssocID="{544E59C6-AFF6-42F5-8E9E-2D609A97B64D}" presName="rootComposite" presStyleCnt="0"/>
      <dgm:spPr/>
    </dgm:pt>
    <dgm:pt modelId="{26F8ABDE-A29E-4BFE-ABE7-C94E0F808EA7}" type="pres">
      <dgm:prSet presAssocID="{544E59C6-AFF6-42F5-8E9E-2D609A97B64D}" presName="rootText" presStyleLbl="node3" presStyleIdx="2" presStyleCnt="5" custLinFactY="-13754" custLinFactNeighborX="27261" custLinFactNeighborY="-100000">
        <dgm:presLayoutVars>
          <dgm:chPref val="3"/>
        </dgm:presLayoutVars>
      </dgm:prSet>
      <dgm:spPr/>
      <dgm:t>
        <a:bodyPr/>
        <a:lstStyle/>
        <a:p>
          <a:endParaRPr lang="en-US"/>
        </a:p>
      </dgm:t>
    </dgm:pt>
    <dgm:pt modelId="{02391973-2FB2-4F5E-8517-C27716E2960D}" type="pres">
      <dgm:prSet presAssocID="{544E59C6-AFF6-42F5-8E9E-2D609A97B64D}" presName="rootConnector" presStyleLbl="node3" presStyleIdx="2" presStyleCnt="5"/>
      <dgm:spPr/>
      <dgm:t>
        <a:bodyPr/>
        <a:lstStyle/>
        <a:p>
          <a:endParaRPr lang="en-US"/>
        </a:p>
      </dgm:t>
    </dgm:pt>
    <dgm:pt modelId="{F83AFD3C-7F5A-44DA-AD01-454D9527C934}" type="pres">
      <dgm:prSet presAssocID="{544E59C6-AFF6-42F5-8E9E-2D609A97B64D}" presName="hierChild4" presStyleCnt="0"/>
      <dgm:spPr/>
    </dgm:pt>
    <dgm:pt modelId="{AAEE09A8-41F2-4AD0-B18D-AC8EDE0E1A9F}" type="pres">
      <dgm:prSet presAssocID="{544E59C6-AFF6-42F5-8E9E-2D609A97B64D}" presName="hierChild5" presStyleCnt="0"/>
      <dgm:spPr/>
    </dgm:pt>
    <dgm:pt modelId="{F3F27DEB-02C5-470F-9716-0A6381B6D921}" type="pres">
      <dgm:prSet presAssocID="{3D0D060B-C131-46F2-899B-75226BC212AC}" presName="Name37" presStyleLbl="parChTrans1D3" presStyleIdx="8" presStyleCnt="10"/>
      <dgm:spPr/>
      <dgm:t>
        <a:bodyPr/>
        <a:lstStyle/>
        <a:p>
          <a:endParaRPr lang="en-US"/>
        </a:p>
      </dgm:t>
    </dgm:pt>
    <dgm:pt modelId="{900C90E4-0BBF-4CAE-AFDE-2F9EA91A790C}" type="pres">
      <dgm:prSet presAssocID="{EB7A9F82-8A3A-4B6F-BF50-B38D76FA5C9E}" presName="hierRoot2" presStyleCnt="0">
        <dgm:presLayoutVars>
          <dgm:hierBranch val="init"/>
        </dgm:presLayoutVars>
      </dgm:prSet>
      <dgm:spPr/>
    </dgm:pt>
    <dgm:pt modelId="{9AD41CF8-A085-4252-BF2A-B7E05D50F15B}" type="pres">
      <dgm:prSet presAssocID="{EB7A9F82-8A3A-4B6F-BF50-B38D76FA5C9E}" presName="rootComposite" presStyleCnt="0"/>
      <dgm:spPr/>
    </dgm:pt>
    <dgm:pt modelId="{DC64FF26-31FD-4249-B716-DCEAB5AA130D}" type="pres">
      <dgm:prSet presAssocID="{EB7A9F82-8A3A-4B6F-BF50-B38D76FA5C9E}" presName="rootText" presStyleLbl="node3" presStyleIdx="3" presStyleCnt="5" custLinFactNeighborX="27261" custLinFactNeighborY="7842">
        <dgm:presLayoutVars>
          <dgm:chPref val="3"/>
        </dgm:presLayoutVars>
      </dgm:prSet>
      <dgm:spPr/>
      <dgm:t>
        <a:bodyPr/>
        <a:lstStyle/>
        <a:p>
          <a:endParaRPr lang="en-US"/>
        </a:p>
      </dgm:t>
    </dgm:pt>
    <dgm:pt modelId="{5BDA3D08-9ED1-4B55-960D-24C44807EB40}" type="pres">
      <dgm:prSet presAssocID="{EB7A9F82-8A3A-4B6F-BF50-B38D76FA5C9E}" presName="rootConnector" presStyleLbl="node3" presStyleIdx="3" presStyleCnt="5"/>
      <dgm:spPr/>
      <dgm:t>
        <a:bodyPr/>
        <a:lstStyle/>
        <a:p>
          <a:endParaRPr lang="en-US"/>
        </a:p>
      </dgm:t>
    </dgm:pt>
    <dgm:pt modelId="{ADD55AC1-AE12-430A-B79E-9AF1504EF663}" type="pres">
      <dgm:prSet presAssocID="{EB7A9F82-8A3A-4B6F-BF50-B38D76FA5C9E}" presName="hierChild4" presStyleCnt="0"/>
      <dgm:spPr/>
    </dgm:pt>
    <dgm:pt modelId="{43598731-ECAA-41D2-AE2E-1B277CBEDEE4}" type="pres">
      <dgm:prSet presAssocID="{EB7A9F82-8A3A-4B6F-BF50-B38D76FA5C9E}" presName="hierChild5" presStyleCnt="0"/>
      <dgm:spPr/>
    </dgm:pt>
    <dgm:pt modelId="{01856B7D-A390-4D39-9679-21E227B7286B}" type="pres">
      <dgm:prSet presAssocID="{91D83E1E-4874-47D8-8861-8FF8D9B3B91A}" presName="Name37" presStyleLbl="parChTrans1D3" presStyleIdx="9" presStyleCnt="10"/>
      <dgm:spPr/>
      <dgm:t>
        <a:bodyPr/>
        <a:lstStyle/>
        <a:p>
          <a:endParaRPr lang="en-US"/>
        </a:p>
      </dgm:t>
    </dgm:pt>
    <dgm:pt modelId="{AD3FE204-D2E3-43DA-B515-ED26D0A117DC}" type="pres">
      <dgm:prSet presAssocID="{F40A1592-8468-4EB4-BB2C-7A1F239AE1F0}" presName="hierRoot2" presStyleCnt="0">
        <dgm:presLayoutVars>
          <dgm:hierBranch val="init"/>
        </dgm:presLayoutVars>
      </dgm:prSet>
      <dgm:spPr/>
    </dgm:pt>
    <dgm:pt modelId="{322EE115-EE85-4479-97F8-C8CB601809AD}" type="pres">
      <dgm:prSet presAssocID="{F40A1592-8468-4EB4-BB2C-7A1F239AE1F0}" presName="rootComposite" presStyleCnt="0"/>
      <dgm:spPr/>
    </dgm:pt>
    <dgm:pt modelId="{7BBA3991-B5C4-4479-8807-C51CFEEEAB7E}" type="pres">
      <dgm:prSet presAssocID="{F40A1592-8468-4EB4-BB2C-7A1F239AE1F0}" presName="rootText" presStyleLbl="node3" presStyleIdx="4" presStyleCnt="5" custLinFactX="80423" custLinFactNeighborX="100000">
        <dgm:presLayoutVars>
          <dgm:chPref val="3"/>
        </dgm:presLayoutVars>
      </dgm:prSet>
      <dgm:spPr/>
      <dgm:t>
        <a:bodyPr/>
        <a:lstStyle/>
        <a:p>
          <a:endParaRPr lang="en-US"/>
        </a:p>
      </dgm:t>
    </dgm:pt>
    <dgm:pt modelId="{4BB9F65F-61E1-4CE4-8BDE-6BDA1EA7F63A}" type="pres">
      <dgm:prSet presAssocID="{F40A1592-8468-4EB4-BB2C-7A1F239AE1F0}" presName="rootConnector" presStyleLbl="node3" presStyleIdx="4" presStyleCnt="5"/>
      <dgm:spPr/>
      <dgm:t>
        <a:bodyPr/>
        <a:lstStyle/>
        <a:p>
          <a:endParaRPr lang="en-US"/>
        </a:p>
      </dgm:t>
    </dgm:pt>
    <dgm:pt modelId="{02215C96-B8E8-484A-8516-9310B847357A}" type="pres">
      <dgm:prSet presAssocID="{F40A1592-8468-4EB4-BB2C-7A1F239AE1F0}" presName="hierChild4" presStyleCnt="0"/>
      <dgm:spPr/>
    </dgm:pt>
    <dgm:pt modelId="{38BB48A1-7EF0-47DD-A158-6E72B9649EEC}" type="pres">
      <dgm:prSet presAssocID="{F40A1592-8468-4EB4-BB2C-7A1F239AE1F0}" presName="hierChild5" presStyleCnt="0"/>
      <dgm:spPr/>
    </dgm:pt>
    <dgm:pt modelId="{99B3CA1E-B0C9-4EE4-9B1F-5570997556D9}" type="pres">
      <dgm:prSet presAssocID="{0ECACD50-5F00-4857-A412-DAEADB96AB9C}" presName="hierChild7" presStyleCnt="0"/>
      <dgm:spPr/>
    </dgm:pt>
  </dgm:ptLst>
  <dgm:cxnLst>
    <dgm:cxn modelId="{304E6F09-0E69-4BCA-88E3-1F85FC71343A}" type="presOf" srcId="{8B706184-CA3F-4044-B94A-C535D61CCDB9}" destId="{55D5C240-7850-4AF6-A876-A424F99B599E}" srcOrd="1" destOrd="0" presId="urn:microsoft.com/office/officeart/2005/8/layout/orgChart1"/>
    <dgm:cxn modelId="{A6DDEC1A-5739-4A69-BFFA-2F5229D165C9}" type="presOf" srcId="{6D59B5C4-050D-4E98-9028-072951547558}" destId="{906579E3-44A7-4CE0-AE1C-ECC567DA0E3D}" srcOrd="0" destOrd="0" presId="urn:microsoft.com/office/officeart/2005/8/layout/orgChart1"/>
    <dgm:cxn modelId="{39448BBC-0897-4BD1-AB35-6747138B7A2C}" srcId="{D63FB381-698B-4BDF-932A-8C3A11C7142D}" destId="{2B333532-5D0C-43D7-B0B5-75564AED8497}" srcOrd="0" destOrd="0" parTransId="{86A84340-D894-47D9-B551-DF3645DA6409}" sibTransId="{ABA9D747-256B-4190-A876-32B0CD801F54}"/>
    <dgm:cxn modelId="{4B366EED-D9EF-47B8-9D26-849C67FA1DCB}" type="presOf" srcId="{D4FC5D5C-0EBD-42B1-BE52-3CAAB97B2A9F}" destId="{24235395-E0CC-4F5F-AE88-8539892753CC}" srcOrd="1" destOrd="0" presId="urn:microsoft.com/office/officeart/2005/8/layout/orgChart1"/>
    <dgm:cxn modelId="{F2B3EA46-5CC6-492E-8396-6CF4D639FD4F}" type="presOf" srcId="{0F74B345-1A42-4A79-960C-3B92051C7431}" destId="{ABB573FB-19DF-4B59-96F7-2A8D98CC536C}" srcOrd="0" destOrd="0" presId="urn:microsoft.com/office/officeart/2005/8/layout/orgChart1"/>
    <dgm:cxn modelId="{A225A979-B261-4215-A1B4-13215E46340B}" type="presOf" srcId="{544E59C6-AFF6-42F5-8E9E-2D609A97B64D}" destId="{02391973-2FB2-4F5E-8517-C27716E2960D}" srcOrd="1" destOrd="0" presId="urn:microsoft.com/office/officeart/2005/8/layout/orgChart1"/>
    <dgm:cxn modelId="{2548DD07-AFB5-43B8-9503-F4D7B2DDDCF4}" srcId="{D4CF1D91-B426-4397-A288-F38211FF617E}" destId="{8B706184-CA3F-4044-B94A-C535D61CCDB9}" srcOrd="2" destOrd="0" parTransId="{E71CD468-8379-4D05-B608-68699A899A35}" sibTransId="{BB33431E-6248-4E87-A217-F28482BD0F40}"/>
    <dgm:cxn modelId="{1BB5001C-EF70-4391-B4E2-C982AEFF66E2}" srcId="{D4CF1D91-B426-4397-A288-F38211FF617E}" destId="{49444837-CDE3-4CD5-A546-CA4E934F77CD}" srcOrd="0" destOrd="0" parTransId="{6D59B5C4-050D-4E98-9028-072951547558}" sibTransId="{63C4CC27-340A-49D2-9090-03D211E63E18}"/>
    <dgm:cxn modelId="{5C4A3794-789A-440D-A266-87A71280605A}" type="presOf" srcId="{0ECACD50-5F00-4857-A412-DAEADB96AB9C}" destId="{79060ADC-82AD-4572-AD82-D9F930BA09DC}" srcOrd="0" destOrd="0" presId="urn:microsoft.com/office/officeart/2005/8/layout/orgChart1"/>
    <dgm:cxn modelId="{B7DB2CAE-9BD1-4164-B3DD-15615D2F3F51}" type="presOf" srcId="{F7B93F52-52C4-4BE2-B1CF-4DA87F651F2E}" destId="{ABDF0A6F-692D-421F-A673-35EC208D56CD}" srcOrd="0" destOrd="0" presId="urn:microsoft.com/office/officeart/2005/8/layout/orgChart1"/>
    <dgm:cxn modelId="{E580DEF6-E044-426E-A63D-EE248B09EDB4}" type="presOf" srcId="{D4FC5D5C-0EBD-42B1-BE52-3CAAB97B2A9F}" destId="{DE1F9070-40FB-4A65-A79A-CD741FA57E7B}" srcOrd="0" destOrd="0" presId="urn:microsoft.com/office/officeart/2005/8/layout/orgChart1"/>
    <dgm:cxn modelId="{1BEC231A-1434-4A03-BB46-6FD102207F26}" srcId="{0ECACD50-5F00-4857-A412-DAEADB96AB9C}" destId="{473B4E0C-9B14-455F-B402-E58804103EFC}" srcOrd="0" destOrd="0" parTransId="{0F74B345-1A42-4A79-960C-3B92051C7431}" sibTransId="{C8069484-CBCF-40A4-B6B0-8348117A936D}"/>
    <dgm:cxn modelId="{3A02F775-3959-4C85-863F-CCA203D14C28}" type="presOf" srcId="{B80E6569-7518-40F9-82BB-C818F7DEA0FE}" destId="{E8D23E0A-9D67-44E4-BB44-72CE6B3C34A5}" srcOrd="0" destOrd="0" presId="urn:microsoft.com/office/officeart/2005/8/layout/orgChart1"/>
    <dgm:cxn modelId="{055D28B9-7E7A-4432-9AE5-78FF5E31846A}" srcId="{0ECACD50-5F00-4857-A412-DAEADB96AB9C}" destId="{544E59C6-AFF6-42F5-8E9E-2D609A97B64D}" srcOrd="2" destOrd="0" parTransId="{37ED5097-02E5-40C3-BCEE-3F67460B3F57}" sibTransId="{712DE10F-F956-40FD-9AB0-E6F3BC7A2C43}"/>
    <dgm:cxn modelId="{D52B59F3-8C1D-4DA1-B03D-D3377AB7A64F}" type="presOf" srcId="{235C175D-5845-4FC8-8D98-442EABAD697B}" destId="{80D8296F-031E-491F-A36B-8CBAD5A002E7}" srcOrd="0" destOrd="0" presId="urn:microsoft.com/office/officeart/2005/8/layout/orgChart1"/>
    <dgm:cxn modelId="{E66B210A-8B23-4DA2-9C17-F07B16841C96}" type="presOf" srcId="{8B706184-CA3F-4044-B94A-C535D61CCDB9}" destId="{F248FCCA-9EAE-4382-83CE-72D5DC9137B1}" srcOrd="0" destOrd="0" presId="urn:microsoft.com/office/officeart/2005/8/layout/orgChart1"/>
    <dgm:cxn modelId="{AE7581A5-17DE-4777-9F4E-67376473AA62}" type="presOf" srcId="{D63FB381-698B-4BDF-932A-8C3A11C7142D}" destId="{C5B6BF4C-FB9B-4228-A007-70D42F4BC28F}" srcOrd="0" destOrd="0" presId="urn:microsoft.com/office/officeart/2005/8/layout/orgChart1"/>
    <dgm:cxn modelId="{78250D8D-C8A7-485B-B0A7-B503A0B6A7E4}" type="presOf" srcId="{37ED5097-02E5-40C3-BCEE-3F67460B3F57}" destId="{D2F5C2BA-7A15-46E1-B013-2769DF60115B}" srcOrd="0" destOrd="0" presId="urn:microsoft.com/office/officeart/2005/8/layout/orgChart1"/>
    <dgm:cxn modelId="{A0DB6B50-98B1-4C7B-9DB1-A92B709B9391}" type="presOf" srcId="{49444837-CDE3-4CD5-A546-CA4E934F77CD}" destId="{ACBA94A7-4002-45B3-9DE9-1715DFAE1AB4}" srcOrd="1" destOrd="0" presId="urn:microsoft.com/office/officeart/2005/8/layout/orgChart1"/>
    <dgm:cxn modelId="{F0532A29-7F79-4B93-930A-E8D1F0ED3A6F}" srcId="{D4CF1D91-B426-4397-A288-F38211FF617E}" destId="{93568E90-565D-4234-82BA-531E2B239C5E}" srcOrd="1" destOrd="0" parTransId="{60A08E6F-AFB4-401C-AD10-8A64A19A6396}" sibTransId="{44BA213F-70A2-4753-9616-695AEF894F16}"/>
    <dgm:cxn modelId="{C36C3AD5-CFBD-4A99-93F4-31EEA740636E}" type="presOf" srcId="{93568E90-565D-4234-82BA-531E2B239C5E}" destId="{A7879BF4-2BCB-43AE-AB35-BAA4150EE65F}" srcOrd="1" destOrd="0" presId="urn:microsoft.com/office/officeart/2005/8/layout/orgChart1"/>
    <dgm:cxn modelId="{FA765801-73DF-4A18-A14F-1F4742D6B738}" type="presOf" srcId="{8C9614F9-577C-4B24-A53A-3A63BCE19859}" destId="{7F3E6A68-64D2-45C4-A35C-E2200885389C}" srcOrd="0" destOrd="0" presId="urn:microsoft.com/office/officeart/2005/8/layout/orgChart1"/>
    <dgm:cxn modelId="{5FA8FC85-4693-4BFD-B5CE-CAF2F87EB9B6}" type="presOf" srcId="{2B333532-5D0C-43D7-B0B5-75564AED8497}" destId="{12D31FF2-CCC6-401E-8148-C6B1FE673039}" srcOrd="0" destOrd="0" presId="urn:microsoft.com/office/officeart/2005/8/layout/orgChart1"/>
    <dgm:cxn modelId="{5265C3E1-E296-40A4-9B26-413A2411972B}" type="presOf" srcId="{F40A1592-8468-4EB4-BB2C-7A1F239AE1F0}" destId="{7BBA3991-B5C4-4479-8807-C51CFEEEAB7E}" srcOrd="0" destOrd="0" presId="urn:microsoft.com/office/officeart/2005/8/layout/orgChart1"/>
    <dgm:cxn modelId="{CEC590BA-C112-4921-A72A-D3045E42C7C9}" srcId="{0ECACD50-5F00-4857-A412-DAEADB96AB9C}" destId="{EB7A9F82-8A3A-4B6F-BF50-B38D76FA5C9E}" srcOrd="3" destOrd="0" parTransId="{3D0D060B-C131-46F2-899B-75226BC212AC}" sibTransId="{DF5D9D61-5CA0-4063-8F3D-DAB00EBD967C}"/>
    <dgm:cxn modelId="{6AF76CFE-54A1-4FB0-B5A0-67063174A454}" type="presOf" srcId="{7F73A627-526C-4010-BA34-596FB67E920B}" destId="{42442B21-40CF-4611-8B6A-24B4FA85FD2B}" srcOrd="0" destOrd="0" presId="urn:microsoft.com/office/officeart/2005/8/layout/orgChart1"/>
    <dgm:cxn modelId="{5C4EE947-1140-4465-94C6-E833E3C6918F}" type="presOf" srcId="{473B4E0C-9B14-455F-B402-E58804103EFC}" destId="{21582E63-F31C-4122-A068-F57C60C90743}" srcOrd="0" destOrd="0" presId="urn:microsoft.com/office/officeart/2005/8/layout/orgChart1"/>
    <dgm:cxn modelId="{3D7295E8-B604-4AC3-BD73-E8FDA9DF6059}" srcId="{0ECACD50-5F00-4857-A412-DAEADB96AB9C}" destId="{D4FC5D5C-0EBD-42B1-BE52-3CAAB97B2A9F}" srcOrd="1" destOrd="0" parTransId="{7F73A627-526C-4010-BA34-596FB67E920B}" sibTransId="{AAED081F-CE68-4236-87FA-6BFFCCA6EACB}"/>
    <dgm:cxn modelId="{9B8D3C3A-50E9-4D9D-A1E0-4F659702E107}" type="presOf" srcId="{235C175D-5845-4FC8-8D98-442EABAD697B}" destId="{79F34448-C8E0-47B3-AE94-4A1725D28773}" srcOrd="1" destOrd="0" presId="urn:microsoft.com/office/officeart/2005/8/layout/orgChart1"/>
    <dgm:cxn modelId="{1407653D-5464-4E6C-A9C7-C42E83F19713}" srcId="{0ECACD50-5F00-4857-A412-DAEADB96AB9C}" destId="{F40A1592-8468-4EB4-BB2C-7A1F239AE1F0}" srcOrd="4" destOrd="0" parTransId="{91D83E1E-4874-47D8-8861-8FF8D9B3B91A}" sibTransId="{DAA02B9A-A294-4E0F-8F0C-E91C5E991A85}"/>
    <dgm:cxn modelId="{33C9870D-6A30-43FF-A66E-807F9747ADEF}" type="presOf" srcId="{745E2568-CDB9-40E9-8C26-DC82C7FC3BCA}" destId="{85DA2353-758B-419C-B8C8-4AB86EA05B75}" srcOrd="0" destOrd="0" presId="urn:microsoft.com/office/officeart/2005/8/layout/orgChart1"/>
    <dgm:cxn modelId="{1C5890C7-0A65-4E53-8710-FB30FACF62C8}" srcId="{2B333532-5D0C-43D7-B0B5-75564AED8497}" destId="{D4CF1D91-B426-4397-A288-F38211FF617E}" srcOrd="0" destOrd="0" parTransId="{B80E6569-7518-40F9-82BB-C818F7DEA0FE}" sibTransId="{044E456E-D54E-4F82-AB24-71874D06F312}"/>
    <dgm:cxn modelId="{25DA45C0-6595-425A-AF90-140568D9FB48}" type="presOf" srcId="{91D83E1E-4874-47D8-8861-8FF8D9B3B91A}" destId="{01856B7D-A390-4D39-9679-21E227B7286B}" srcOrd="0" destOrd="0" presId="urn:microsoft.com/office/officeart/2005/8/layout/orgChart1"/>
    <dgm:cxn modelId="{1735C4F7-AE50-404E-810C-D93F1EEA6E25}" type="presOf" srcId="{D4CF1D91-B426-4397-A288-F38211FF617E}" destId="{617B3BAA-EE70-470C-8A5F-CC8C9092F754}" srcOrd="0" destOrd="0" presId="urn:microsoft.com/office/officeart/2005/8/layout/orgChart1"/>
    <dgm:cxn modelId="{70C9629E-19B1-42CD-9E9D-CB9F408DD662}" type="presOf" srcId="{93568E90-565D-4234-82BA-531E2B239C5E}" destId="{A7DADB44-516E-4CBB-9837-25EC9CD1C35A}" srcOrd="0" destOrd="0" presId="urn:microsoft.com/office/officeart/2005/8/layout/orgChart1"/>
    <dgm:cxn modelId="{D751A7D6-46B2-40B8-BB6B-AF662E2D7E96}" srcId="{D4CF1D91-B426-4397-A288-F38211FF617E}" destId="{235C175D-5845-4FC8-8D98-442EABAD697B}" srcOrd="4" destOrd="0" parTransId="{9FA40FFD-6851-483E-8499-A3A1CF13506D}" sibTransId="{4355A6F7-2535-4D93-A74E-4EF368AD4B07}"/>
    <dgm:cxn modelId="{95746017-4A8C-4EFF-8B37-DC233F960AA9}" type="presOf" srcId="{3D0D060B-C131-46F2-899B-75226BC212AC}" destId="{F3F27DEB-02C5-470F-9716-0A6381B6D921}" srcOrd="0" destOrd="0" presId="urn:microsoft.com/office/officeart/2005/8/layout/orgChart1"/>
    <dgm:cxn modelId="{3E0762B8-641E-41ED-98C6-57EA79751A2F}" type="presOf" srcId="{60A08E6F-AFB4-401C-AD10-8A64A19A6396}" destId="{96E32949-427C-4696-9071-43FE1003DAB7}" srcOrd="0" destOrd="0" presId="urn:microsoft.com/office/officeart/2005/8/layout/orgChart1"/>
    <dgm:cxn modelId="{EDEF1C46-EBB6-451E-B89F-4084137245B5}" type="presOf" srcId="{E71CD468-8379-4D05-B608-68699A899A35}" destId="{6CA67745-2B1A-4C4E-89D9-415074D149F3}" srcOrd="0" destOrd="0" presId="urn:microsoft.com/office/officeart/2005/8/layout/orgChart1"/>
    <dgm:cxn modelId="{71FE8604-CA38-46BA-8767-97D7D97C6FFD}" type="presOf" srcId="{0ECACD50-5F00-4857-A412-DAEADB96AB9C}" destId="{D1E6D9AE-6DBA-4D0C-A879-A64EF2298524}" srcOrd="1" destOrd="0" presId="urn:microsoft.com/office/officeart/2005/8/layout/orgChart1"/>
    <dgm:cxn modelId="{B23937B5-A348-485A-8FD6-E22909F7288C}" type="presOf" srcId="{544E59C6-AFF6-42F5-8E9E-2D609A97B64D}" destId="{26F8ABDE-A29E-4BFE-ABE7-C94E0F808EA7}" srcOrd="0" destOrd="0" presId="urn:microsoft.com/office/officeart/2005/8/layout/orgChart1"/>
    <dgm:cxn modelId="{B42F2638-C454-4AA8-B1BB-1B46ADD82A84}" type="presOf" srcId="{8C9614F9-577C-4B24-A53A-3A63BCE19859}" destId="{4EC3F407-B0A3-4968-A510-DFD073DF4F6C}" srcOrd="1" destOrd="0" presId="urn:microsoft.com/office/officeart/2005/8/layout/orgChart1"/>
    <dgm:cxn modelId="{94361396-C277-4394-B118-A9125EF85C80}" type="presOf" srcId="{49444837-CDE3-4CD5-A546-CA4E934F77CD}" destId="{624C1FCF-4F87-4A1A-A6F4-E86DF15743A0}" srcOrd="0" destOrd="0" presId="urn:microsoft.com/office/officeart/2005/8/layout/orgChart1"/>
    <dgm:cxn modelId="{EE915441-D90F-49F3-AEF1-9FDED38A770E}" type="presOf" srcId="{EB7A9F82-8A3A-4B6F-BF50-B38D76FA5C9E}" destId="{DC64FF26-31FD-4249-B716-DCEAB5AA130D}" srcOrd="0" destOrd="0" presId="urn:microsoft.com/office/officeart/2005/8/layout/orgChart1"/>
    <dgm:cxn modelId="{D83A7D6A-D1CD-4416-8274-1B1BCA8E227E}" type="presOf" srcId="{9FA40FFD-6851-483E-8499-A3A1CF13506D}" destId="{1274BB92-A1E9-44E0-B9DE-ED2061249849}" srcOrd="0" destOrd="0" presId="urn:microsoft.com/office/officeart/2005/8/layout/orgChart1"/>
    <dgm:cxn modelId="{7C620686-6F16-4CD1-BDE5-FB1B2607296C}" type="presOf" srcId="{D4CF1D91-B426-4397-A288-F38211FF617E}" destId="{7A364100-349F-40E0-B3B9-8621A6E1F981}" srcOrd="1" destOrd="0" presId="urn:microsoft.com/office/officeart/2005/8/layout/orgChart1"/>
    <dgm:cxn modelId="{E53BC301-B4F5-4DAB-A5A4-283FF0F5EA91}" srcId="{2B333532-5D0C-43D7-B0B5-75564AED8497}" destId="{0ECACD50-5F00-4857-A412-DAEADB96AB9C}" srcOrd="1" destOrd="0" parTransId="{F7B93F52-52C4-4BE2-B1CF-4DA87F651F2E}" sibTransId="{C5FD2EA6-CF01-4B0C-8C01-857A2D27C571}"/>
    <dgm:cxn modelId="{E899B111-4449-448B-8A3D-73D08A7FEFF2}" srcId="{D4CF1D91-B426-4397-A288-F38211FF617E}" destId="{8C9614F9-577C-4B24-A53A-3A63BCE19859}" srcOrd="3" destOrd="0" parTransId="{745E2568-CDB9-40E9-8C26-DC82C7FC3BCA}" sibTransId="{7E8A13C4-ABD5-4F42-AE46-802AB850676F}"/>
    <dgm:cxn modelId="{15A4A1E8-5A11-410A-9DFE-D6187BCBF718}" type="presOf" srcId="{473B4E0C-9B14-455F-B402-E58804103EFC}" destId="{9EF7EA3F-6B74-4324-9EA7-E23DF49E9B83}" srcOrd="1" destOrd="0" presId="urn:microsoft.com/office/officeart/2005/8/layout/orgChart1"/>
    <dgm:cxn modelId="{9661F1D5-491C-4FBF-85F7-BDD6C1F223DF}" type="presOf" srcId="{2B333532-5D0C-43D7-B0B5-75564AED8497}" destId="{3003F140-73FB-4118-8E51-DF887D1AB121}" srcOrd="1" destOrd="0" presId="urn:microsoft.com/office/officeart/2005/8/layout/orgChart1"/>
    <dgm:cxn modelId="{1E7FBE38-BD98-4E37-937C-039414B1C9E3}" type="presOf" srcId="{F40A1592-8468-4EB4-BB2C-7A1F239AE1F0}" destId="{4BB9F65F-61E1-4CE4-8BDE-6BDA1EA7F63A}" srcOrd="1" destOrd="0" presId="urn:microsoft.com/office/officeart/2005/8/layout/orgChart1"/>
    <dgm:cxn modelId="{058DA9F1-D619-4661-8541-54DF2F3AEB4D}" type="presOf" srcId="{EB7A9F82-8A3A-4B6F-BF50-B38D76FA5C9E}" destId="{5BDA3D08-9ED1-4B55-960D-24C44807EB40}" srcOrd="1" destOrd="0" presId="urn:microsoft.com/office/officeart/2005/8/layout/orgChart1"/>
    <dgm:cxn modelId="{5885CE31-BF6C-4A40-AB43-9DA9E0068460}" type="presParOf" srcId="{C5B6BF4C-FB9B-4228-A007-70D42F4BC28F}" destId="{E4DA4160-8B07-4122-A866-77F3AEE3F33B}" srcOrd="0" destOrd="0" presId="urn:microsoft.com/office/officeart/2005/8/layout/orgChart1"/>
    <dgm:cxn modelId="{CDB5D97F-97BC-48BC-A67F-4E362A78305A}" type="presParOf" srcId="{E4DA4160-8B07-4122-A866-77F3AEE3F33B}" destId="{67F0A44D-16C3-42B1-A668-6C9B2440EAA8}" srcOrd="0" destOrd="0" presId="urn:microsoft.com/office/officeart/2005/8/layout/orgChart1"/>
    <dgm:cxn modelId="{BC32E502-D748-4BEF-831A-79CB56511F7D}" type="presParOf" srcId="{67F0A44D-16C3-42B1-A668-6C9B2440EAA8}" destId="{12D31FF2-CCC6-401E-8148-C6B1FE673039}" srcOrd="0" destOrd="0" presId="urn:microsoft.com/office/officeart/2005/8/layout/orgChart1"/>
    <dgm:cxn modelId="{8FDE20C0-45FA-4222-BD85-E8758F56AE14}" type="presParOf" srcId="{67F0A44D-16C3-42B1-A668-6C9B2440EAA8}" destId="{3003F140-73FB-4118-8E51-DF887D1AB121}" srcOrd="1" destOrd="0" presId="urn:microsoft.com/office/officeart/2005/8/layout/orgChart1"/>
    <dgm:cxn modelId="{28D67200-D717-4546-8CE6-3A11BD69BC17}" type="presParOf" srcId="{E4DA4160-8B07-4122-A866-77F3AEE3F33B}" destId="{AF215234-0A11-49D5-BBEF-AF810E1F6FEB}" srcOrd="1" destOrd="0" presId="urn:microsoft.com/office/officeart/2005/8/layout/orgChart1"/>
    <dgm:cxn modelId="{A521E59E-5DA4-44CB-8AA2-148B45CEA2E3}" type="presParOf" srcId="{E4DA4160-8B07-4122-A866-77F3AEE3F33B}" destId="{425F87ED-208C-490B-98E5-2439C02351BE}" srcOrd="2" destOrd="0" presId="urn:microsoft.com/office/officeart/2005/8/layout/orgChart1"/>
    <dgm:cxn modelId="{145A6F55-84B0-4C98-ACE8-D145F97D6979}" type="presParOf" srcId="{425F87ED-208C-490B-98E5-2439C02351BE}" destId="{E8D23E0A-9D67-44E4-BB44-72CE6B3C34A5}" srcOrd="0" destOrd="0" presId="urn:microsoft.com/office/officeart/2005/8/layout/orgChart1"/>
    <dgm:cxn modelId="{0236E2FF-4033-437B-92D6-6C00916904C8}" type="presParOf" srcId="{425F87ED-208C-490B-98E5-2439C02351BE}" destId="{49980EA8-ADEF-43FF-BC3D-C6420E535BE7}" srcOrd="1" destOrd="0" presId="urn:microsoft.com/office/officeart/2005/8/layout/orgChart1"/>
    <dgm:cxn modelId="{BC17F216-47AB-4C81-A347-BEB1018263AB}" type="presParOf" srcId="{49980EA8-ADEF-43FF-BC3D-C6420E535BE7}" destId="{EE629F42-00F8-4BFC-890B-DD3A115E5D30}" srcOrd="0" destOrd="0" presId="urn:microsoft.com/office/officeart/2005/8/layout/orgChart1"/>
    <dgm:cxn modelId="{43DE6AB7-F17B-46C8-B09B-0D01193CA226}" type="presParOf" srcId="{EE629F42-00F8-4BFC-890B-DD3A115E5D30}" destId="{617B3BAA-EE70-470C-8A5F-CC8C9092F754}" srcOrd="0" destOrd="0" presId="urn:microsoft.com/office/officeart/2005/8/layout/orgChart1"/>
    <dgm:cxn modelId="{50426691-49E9-4A11-8EE9-641B86651AC4}" type="presParOf" srcId="{EE629F42-00F8-4BFC-890B-DD3A115E5D30}" destId="{7A364100-349F-40E0-B3B9-8621A6E1F981}" srcOrd="1" destOrd="0" presId="urn:microsoft.com/office/officeart/2005/8/layout/orgChart1"/>
    <dgm:cxn modelId="{F8C58703-B7EF-4FE2-8798-97041ABB0E28}" type="presParOf" srcId="{49980EA8-ADEF-43FF-BC3D-C6420E535BE7}" destId="{C1EAE7DC-3405-4A56-96B9-F8733934EEDD}" srcOrd="1" destOrd="0" presId="urn:microsoft.com/office/officeart/2005/8/layout/orgChart1"/>
    <dgm:cxn modelId="{3D285F75-D610-44E8-A5D9-39013E12EE4F}" type="presParOf" srcId="{49980EA8-ADEF-43FF-BC3D-C6420E535BE7}" destId="{1737F8D0-3858-403C-AB0C-C46FF6668FFB}" srcOrd="2" destOrd="0" presId="urn:microsoft.com/office/officeart/2005/8/layout/orgChart1"/>
    <dgm:cxn modelId="{D95C3974-5236-41ED-BD5F-1FD1B41D902D}" type="presParOf" srcId="{1737F8D0-3858-403C-AB0C-C46FF6668FFB}" destId="{906579E3-44A7-4CE0-AE1C-ECC567DA0E3D}" srcOrd="0" destOrd="0" presId="urn:microsoft.com/office/officeart/2005/8/layout/orgChart1"/>
    <dgm:cxn modelId="{FCCA8083-CBF3-4D7B-9517-CB86EDE91E78}" type="presParOf" srcId="{1737F8D0-3858-403C-AB0C-C46FF6668FFB}" destId="{600DD568-EFB5-40F0-BEC4-5201FD200FFD}" srcOrd="1" destOrd="0" presId="urn:microsoft.com/office/officeart/2005/8/layout/orgChart1"/>
    <dgm:cxn modelId="{34D2AE62-6DD4-4F1E-B6BE-FB0561693095}" type="presParOf" srcId="{600DD568-EFB5-40F0-BEC4-5201FD200FFD}" destId="{DC4551D5-0C2A-413A-A8FF-34EC0526D419}" srcOrd="0" destOrd="0" presId="urn:microsoft.com/office/officeart/2005/8/layout/orgChart1"/>
    <dgm:cxn modelId="{052A371A-B4D9-4F5A-9611-79DD832E68C1}" type="presParOf" srcId="{DC4551D5-0C2A-413A-A8FF-34EC0526D419}" destId="{624C1FCF-4F87-4A1A-A6F4-E86DF15743A0}" srcOrd="0" destOrd="0" presId="urn:microsoft.com/office/officeart/2005/8/layout/orgChart1"/>
    <dgm:cxn modelId="{B2A7F182-A90D-4D6C-986F-BFA815DD61EA}" type="presParOf" srcId="{DC4551D5-0C2A-413A-A8FF-34EC0526D419}" destId="{ACBA94A7-4002-45B3-9DE9-1715DFAE1AB4}" srcOrd="1" destOrd="0" presId="urn:microsoft.com/office/officeart/2005/8/layout/orgChart1"/>
    <dgm:cxn modelId="{3B77E187-8919-4347-87AC-0E25F809635D}" type="presParOf" srcId="{600DD568-EFB5-40F0-BEC4-5201FD200FFD}" destId="{0E1057B7-5ED5-447B-8358-FA8F1974843E}" srcOrd="1" destOrd="0" presId="urn:microsoft.com/office/officeart/2005/8/layout/orgChart1"/>
    <dgm:cxn modelId="{0C07BB53-96E3-46C9-9087-004D5759D3DD}" type="presParOf" srcId="{600DD568-EFB5-40F0-BEC4-5201FD200FFD}" destId="{A727BB65-EB9A-4F0F-A2F2-0E4BE8C8E611}" srcOrd="2" destOrd="0" presId="urn:microsoft.com/office/officeart/2005/8/layout/orgChart1"/>
    <dgm:cxn modelId="{2030C137-E65C-4A45-B5B0-B8F272D6CE9E}" type="presParOf" srcId="{1737F8D0-3858-403C-AB0C-C46FF6668FFB}" destId="{96E32949-427C-4696-9071-43FE1003DAB7}" srcOrd="2" destOrd="0" presId="urn:microsoft.com/office/officeart/2005/8/layout/orgChart1"/>
    <dgm:cxn modelId="{45698486-0F75-486A-A5C5-1013DDDA7D40}" type="presParOf" srcId="{1737F8D0-3858-403C-AB0C-C46FF6668FFB}" destId="{86F45469-3DE0-4E3D-BA77-E5AAD7F881BD}" srcOrd="3" destOrd="0" presId="urn:microsoft.com/office/officeart/2005/8/layout/orgChart1"/>
    <dgm:cxn modelId="{1132CA9F-8881-4E82-B8D8-0709C05C8C97}" type="presParOf" srcId="{86F45469-3DE0-4E3D-BA77-E5AAD7F881BD}" destId="{14C79D86-F081-45F1-A3D8-1FF36994C7F0}" srcOrd="0" destOrd="0" presId="urn:microsoft.com/office/officeart/2005/8/layout/orgChart1"/>
    <dgm:cxn modelId="{A269118F-0796-4B22-8C49-74424DB7441C}" type="presParOf" srcId="{14C79D86-F081-45F1-A3D8-1FF36994C7F0}" destId="{A7DADB44-516E-4CBB-9837-25EC9CD1C35A}" srcOrd="0" destOrd="0" presId="urn:microsoft.com/office/officeart/2005/8/layout/orgChart1"/>
    <dgm:cxn modelId="{55E9291E-D0DB-4D96-8362-4A0A84A3944E}" type="presParOf" srcId="{14C79D86-F081-45F1-A3D8-1FF36994C7F0}" destId="{A7879BF4-2BCB-43AE-AB35-BAA4150EE65F}" srcOrd="1" destOrd="0" presId="urn:microsoft.com/office/officeart/2005/8/layout/orgChart1"/>
    <dgm:cxn modelId="{C341741C-66FE-4814-AD73-096E08D650FB}" type="presParOf" srcId="{86F45469-3DE0-4E3D-BA77-E5AAD7F881BD}" destId="{0ECC5067-EB6B-4653-B210-FA753849A7A9}" srcOrd="1" destOrd="0" presId="urn:microsoft.com/office/officeart/2005/8/layout/orgChart1"/>
    <dgm:cxn modelId="{70E3A9F1-8E38-4D88-812A-C940289C0EE9}" type="presParOf" srcId="{86F45469-3DE0-4E3D-BA77-E5AAD7F881BD}" destId="{1107424D-5560-4A06-B820-DB5525BF1F03}" srcOrd="2" destOrd="0" presId="urn:microsoft.com/office/officeart/2005/8/layout/orgChart1"/>
    <dgm:cxn modelId="{6CDA1331-4C25-497C-8593-5D8BC1767EB3}" type="presParOf" srcId="{1737F8D0-3858-403C-AB0C-C46FF6668FFB}" destId="{6CA67745-2B1A-4C4E-89D9-415074D149F3}" srcOrd="4" destOrd="0" presId="urn:microsoft.com/office/officeart/2005/8/layout/orgChart1"/>
    <dgm:cxn modelId="{016D6C20-556A-4376-920C-5A24CD8B80CC}" type="presParOf" srcId="{1737F8D0-3858-403C-AB0C-C46FF6668FFB}" destId="{BA135C41-5D8D-4A96-96C6-FD708D99B84C}" srcOrd="5" destOrd="0" presId="urn:microsoft.com/office/officeart/2005/8/layout/orgChart1"/>
    <dgm:cxn modelId="{2F85426B-5F39-435D-ACD9-003BEF53147D}" type="presParOf" srcId="{BA135C41-5D8D-4A96-96C6-FD708D99B84C}" destId="{022CCCD3-FB16-4FEC-9A83-90F52E30BEFE}" srcOrd="0" destOrd="0" presId="urn:microsoft.com/office/officeart/2005/8/layout/orgChart1"/>
    <dgm:cxn modelId="{812BF7AD-4B9C-4F2B-90DD-3D7CD70AEB20}" type="presParOf" srcId="{022CCCD3-FB16-4FEC-9A83-90F52E30BEFE}" destId="{F248FCCA-9EAE-4382-83CE-72D5DC9137B1}" srcOrd="0" destOrd="0" presId="urn:microsoft.com/office/officeart/2005/8/layout/orgChart1"/>
    <dgm:cxn modelId="{0FFFE81D-FB8D-4A22-A49C-B5D4CAE3FB6D}" type="presParOf" srcId="{022CCCD3-FB16-4FEC-9A83-90F52E30BEFE}" destId="{55D5C240-7850-4AF6-A876-A424F99B599E}" srcOrd="1" destOrd="0" presId="urn:microsoft.com/office/officeart/2005/8/layout/orgChart1"/>
    <dgm:cxn modelId="{7A4A1126-22E0-4D48-94A7-EBA27D661C4B}" type="presParOf" srcId="{BA135C41-5D8D-4A96-96C6-FD708D99B84C}" destId="{9F67EF83-8455-45B9-B069-EA1C2A170827}" srcOrd="1" destOrd="0" presId="urn:microsoft.com/office/officeart/2005/8/layout/orgChart1"/>
    <dgm:cxn modelId="{1FA8F780-0D23-485E-9803-8B88FEA685AA}" type="presParOf" srcId="{BA135C41-5D8D-4A96-96C6-FD708D99B84C}" destId="{DA76B8BC-EBCC-4719-875A-FD40B949AF06}" srcOrd="2" destOrd="0" presId="urn:microsoft.com/office/officeart/2005/8/layout/orgChart1"/>
    <dgm:cxn modelId="{8855AB37-B423-4B89-855C-3F1AC7F04FE8}" type="presParOf" srcId="{1737F8D0-3858-403C-AB0C-C46FF6668FFB}" destId="{85DA2353-758B-419C-B8C8-4AB86EA05B75}" srcOrd="6" destOrd="0" presId="urn:microsoft.com/office/officeart/2005/8/layout/orgChart1"/>
    <dgm:cxn modelId="{5F19BB01-6788-4528-8C34-A95D14B3ADC2}" type="presParOf" srcId="{1737F8D0-3858-403C-AB0C-C46FF6668FFB}" destId="{9A143E4E-65DE-483C-8D4A-0DB3090CEC31}" srcOrd="7" destOrd="0" presId="urn:microsoft.com/office/officeart/2005/8/layout/orgChart1"/>
    <dgm:cxn modelId="{0C963261-7E07-4424-A46A-1BCF43BDB7EE}" type="presParOf" srcId="{9A143E4E-65DE-483C-8D4A-0DB3090CEC31}" destId="{BEF35F7A-D79A-40A1-A8F6-83032BE667C4}" srcOrd="0" destOrd="0" presId="urn:microsoft.com/office/officeart/2005/8/layout/orgChart1"/>
    <dgm:cxn modelId="{28E7DBA2-C2F5-4DF0-9D4A-ADCA4EBC0A97}" type="presParOf" srcId="{BEF35F7A-D79A-40A1-A8F6-83032BE667C4}" destId="{7F3E6A68-64D2-45C4-A35C-E2200885389C}" srcOrd="0" destOrd="0" presId="urn:microsoft.com/office/officeart/2005/8/layout/orgChart1"/>
    <dgm:cxn modelId="{D1D7A55C-D9AE-4D3C-9B49-1F4F11B89178}" type="presParOf" srcId="{BEF35F7A-D79A-40A1-A8F6-83032BE667C4}" destId="{4EC3F407-B0A3-4968-A510-DFD073DF4F6C}" srcOrd="1" destOrd="0" presId="urn:microsoft.com/office/officeart/2005/8/layout/orgChart1"/>
    <dgm:cxn modelId="{3538BD02-9579-4870-B0BD-7EF055ED488F}" type="presParOf" srcId="{9A143E4E-65DE-483C-8D4A-0DB3090CEC31}" destId="{33356255-70F3-493B-B0B3-50B66701914E}" srcOrd="1" destOrd="0" presId="urn:microsoft.com/office/officeart/2005/8/layout/orgChart1"/>
    <dgm:cxn modelId="{B5CCFB77-C94A-449E-A27A-6AB1B7C112A2}" type="presParOf" srcId="{9A143E4E-65DE-483C-8D4A-0DB3090CEC31}" destId="{B62CAF23-675E-43A7-BDA8-3B87228A6A7D}" srcOrd="2" destOrd="0" presId="urn:microsoft.com/office/officeart/2005/8/layout/orgChart1"/>
    <dgm:cxn modelId="{66055913-064A-40AB-91A6-1B42FEEF4E82}" type="presParOf" srcId="{1737F8D0-3858-403C-AB0C-C46FF6668FFB}" destId="{1274BB92-A1E9-44E0-B9DE-ED2061249849}" srcOrd="8" destOrd="0" presId="urn:microsoft.com/office/officeart/2005/8/layout/orgChart1"/>
    <dgm:cxn modelId="{23E43C15-B61B-4944-9278-C10AD75F72A6}" type="presParOf" srcId="{1737F8D0-3858-403C-AB0C-C46FF6668FFB}" destId="{C2E93B89-9BC0-4045-BD51-0C0741A87E15}" srcOrd="9" destOrd="0" presId="urn:microsoft.com/office/officeart/2005/8/layout/orgChart1"/>
    <dgm:cxn modelId="{80F8B8EF-9143-4B76-B83F-198F4428E18B}" type="presParOf" srcId="{C2E93B89-9BC0-4045-BD51-0C0741A87E15}" destId="{0997DD57-85A1-4961-80AA-C3D5B58B01BE}" srcOrd="0" destOrd="0" presId="urn:microsoft.com/office/officeart/2005/8/layout/orgChart1"/>
    <dgm:cxn modelId="{A30667A4-B307-4250-88B2-BB2C08101B4E}" type="presParOf" srcId="{0997DD57-85A1-4961-80AA-C3D5B58B01BE}" destId="{80D8296F-031E-491F-A36B-8CBAD5A002E7}" srcOrd="0" destOrd="0" presId="urn:microsoft.com/office/officeart/2005/8/layout/orgChart1"/>
    <dgm:cxn modelId="{3CBBC92A-5861-4470-A025-01BE7FB2EC96}" type="presParOf" srcId="{0997DD57-85A1-4961-80AA-C3D5B58B01BE}" destId="{79F34448-C8E0-47B3-AE94-4A1725D28773}" srcOrd="1" destOrd="0" presId="urn:microsoft.com/office/officeart/2005/8/layout/orgChart1"/>
    <dgm:cxn modelId="{DA2EF226-D75F-44A9-B032-641C4F6061EF}" type="presParOf" srcId="{C2E93B89-9BC0-4045-BD51-0C0741A87E15}" destId="{268CCBE6-A2A5-4D75-9F86-B786C9EE1699}" srcOrd="1" destOrd="0" presId="urn:microsoft.com/office/officeart/2005/8/layout/orgChart1"/>
    <dgm:cxn modelId="{0A28EA2C-EC2D-4EB5-8468-03EFAFB57549}" type="presParOf" srcId="{C2E93B89-9BC0-4045-BD51-0C0741A87E15}" destId="{512A9864-2CAF-4374-BD60-79D88E0BD4FE}" srcOrd="2" destOrd="0" presId="urn:microsoft.com/office/officeart/2005/8/layout/orgChart1"/>
    <dgm:cxn modelId="{08C02647-43C6-43DC-8A19-C879EF1F5CBA}" type="presParOf" srcId="{425F87ED-208C-490B-98E5-2439C02351BE}" destId="{ABDF0A6F-692D-421F-A673-35EC208D56CD}" srcOrd="2" destOrd="0" presId="urn:microsoft.com/office/officeart/2005/8/layout/orgChart1"/>
    <dgm:cxn modelId="{6A5D6B2B-4409-42DB-A73A-5E32C2A0CE36}" type="presParOf" srcId="{425F87ED-208C-490B-98E5-2439C02351BE}" destId="{6ADB7C62-4E33-41AE-9A2E-282C66F16985}" srcOrd="3" destOrd="0" presId="urn:microsoft.com/office/officeart/2005/8/layout/orgChart1"/>
    <dgm:cxn modelId="{77A00A94-CA17-4E77-8CAF-4788EDDEBF09}" type="presParOf" srcId="{6ADB7C62-4E33-41AE-9A2E-282C66F16985}" destId="{94723E36-7957-4504-92CC-0380F0E8DF77}" srcOrd="0" destOrd="0" presId="urn:microsoft.com/office/officeart/2005/8/layout/orgChart1"/>
    <dgm:cxn modelId="{85909C1B-D735-48A1-B69A-0AE7FD47C638}" type="presParOf" srcId="{94723E36-7957-4504-92CC-0380F0E8DF77}" destId="{79060ADC-82AD-4572-AD82-D9F930BA09DC}" srcOrd="0" destOrd="0" presId="urn:microsoft.com/office/officeart/2005/8/layout/orgChart1"/>
    <dgm:cxn modelId="{58572732-459E-4627-B669-F54E843DFAC9}" type="presParOf" srcId="{94723E36-7957-4504-92CC-0380F0E8DF77}" destId="{D1E6D9AE-6DBA-4D0C-A879-A64EF2298524}" srcOrd="1" destOrd="0" presId="urn:microsoft.com/office/officeart/2005/8/layout/orgChart1"/>
    <dgm:cxn modelId="{1E631FE8-C597-4903-9447-3CD59697DEF3}" type="presParOf" srcId="{6ADB7C62-4E33-41AE-9A2E-282C66F16985}" destId="{C15BC7AC-EA31-49EE-A0C0-36EC4199D8F2}" srcOrd="1" destOrd="0" presId="urn:microsoft.com/office/officeart/2005/8/layout/orgChart1"/>
    <dgm:cxn modelId="{BFF5E6D8-63B4-470F-B616-5028A7BE301C}" type="presParOf" srcId="{C15BC7AC-EA31-49EE-A0C0-36EC4199D8F2}" destId="{ABB573FB-19DF-4B59-96F7-2A8D98CC536C}" srcOrd="0" destOrd="0" presId="urn:microsoft.com/office/officeart/2005/8/layout/orgChart1"/>
    <dgm:cxn modelId="{02DE1BC1-B771-47BB-ACCF-3BE9B913773C}" type="presParOf" srcId="{C15BC7AC-EA31-49EE-A0C0-36EC4199D8F2}" destId="{0B958196-9FD0-4EBE-A204-6DD0F5F6D87C}" srcOrd="1" destOrd="0" presId="urn:microsoft.com/office/officeart/2005/8/layout/orgChart1"/>
    <dgm:cxn modelId="{05945B47-6300-4B7D-935A-0B154AD8B2FE}" type="presParOf" srcId="{0B958196-9FD0-4EBE-A204-6DD0F5F6D87C}" destId="{1C9501D2-A31C-46EF-842D-9BAA6AD32FA2}" srcOrd="0" destOrd="0" presId="urn:microsoft.com/office/officeart/2005/8/layout/orgChart1"/>
    <dgm:cxn modelId="{BA073603-62E0-43FD-A4E5-E20ACA01A1D4}" type="presParOf" srcId="{1C9501D2-A31C-46EF-842D-9BAA6AD32FA2}" destId="{21582E63-F31C-4122-A068-F57C60C90743}" srcOrd="0" destOrd="0" presId="urn:microsoft.com/office/officeart/2005/8/layout/orgChart1"/>
    <dgm:cxn modelId="{921E4EBA-5A9E-4BC0-B03C-511FBEAF3637}" type="presParOf" srcId="{1C9501D2-A31C-46EF-842D-9BAA6AD32FA2}" destId="{9EF7EA3F-6B74-4324-9EA7-E23DF49E9B83}" srcOrd="1" destOrd="0" presId="urn:microsoft.com/office/officeart/2005/8/layout/orgChart1"/>
    <dgm:cxn modelId="{2706E71E-5ED9-4A0B-AC9D-29C3ED8445FB}" type="presParOf" srcId="{0B958196-9FD0-4EBE-A204-6DD0F5F6D87C}" destId="{A38CF016-663A-4EA7-ADE8-EC22352EF75A}" srcOrd="1" destOrd="0" presId="urn:microsoft.com/office/officeart/2005/8/layout/orgChart1"/>
    <dgm:cxn modelId="{5B64C34B-E8B6-4721-8039-8E581E1C5162}" type="presParOf" srcId="{0B958196-9FD0-4EBE-A204-6DD0F5F6D87C}" destId="{AFD03CC8-1C40-4E23-9AFE-0868F68D4407}" srcOrd="2" destOrd="0" presId="urn:microsoft.com/office/officeart/2005/8/layout/orgChart1"/>
    <dgm:cxn modelId="{F3135F5B-A74B-4A2E-81DA-C94C40460813}" type="presParOf" srcId="{C15BC7AC-EA31-49EE-A0C0-36EC4199D8F2}" destId="{42442B21-40CF-4611-8B6A-24B4FA85FD2B}" srcOrd="2" destOrd="0" presId="urn:microsoft.com/office/officeart/2005/8/layout/orgChart1"/>
    <dgm:cxn modelId="{BAF2492D-8DDA-49B8-A7A8-D15AE7DA6D49}" type="presParOf" srcId="{C15BC7AC-EA31-49EE-A0C0-36EC4199D8F2}" destId="{A9184F3D-82F8-4993-ADDC-21105FA25F07}" srcOrd="3" destOrd="0" presId="urn:microsoft.com/office/officeart/2005/8/layout/orgChart1"/>
    <dgm:cxn modelId="{44CCB374-77FD-4A1C-8C2C-E18F06EC5E25}" type="presParOf" srcId="{A9184F3D-82F8-4993-ADDC-21105FA25F07}" destId="{685BB887-7A1C-44E1-8F82-A6BD1A2E3A95}" srcOrd="0" destOrd="0" presId="urn:microsoft.com/office/officeart/2005/8/layout/orgChart1"/>
    <dgm:cxn modelId="{DA8EEC08-9F0B-4778-BE43-060C7680FB58}" type="presParOf" srcId="{685BB887-7A1C-44E1-8F82-A6BD1A2E3A95}" destId="{DE1F9070-40FB-4A65-A79A-CD741FA57E7B}" srcOrd="0" destOrd="0" presId="urn:microsoft.com/office/officeart/2005/8/layout/orgChart1"/>
    <dgm:cxn modelId="{AC66050A-763A-4CFE-B285-039E4530F71F}" type="presParOf" srcId="{685BB887-7A1C-44E1-8F82-A6BD1A2E3A95}" destId="{24235395-E0CC-4F5F-AE88-8539892753CC}" srcOrd="1" destOrd="0" presId="urn:microsoft.com/office/officeart/2005/8/layout/orgChart1"/>
    <dgm:cxn modelId="{CEE9AAAF-292F-4F1C-9874-42E93F854DD2}" type="presParOf" srcId="{A9184F3D-82F8-4993-ADDC-21105FA25F07}" destId="{F4B7E6AB-1092-4994-90A6-8119DF5CB927}" srcOrd="1" destOrd="0" presId="urn:microsoft.com/office/officeart/2005/8/layout/orgChart1"/>
    <dgm:cxn modelId="{4B86B68B-1F7F-4ED3-A7D5-75426702528A}" type="presParOf" srcId="{A9184F3D-82F8-4993-ADDC-21105FA25F07}" destId="{E17C543A-48AC-4CE5-ACEE-A0A289582BB6}" srcOrd="2" destOrd="0" presId="urn:microsoft.com/office/officeart/2005/8/layout/orgChart1"/>
    <dgm:cxn modelId="{96358315-399B-47DE-960E-57A3E504B9DA}" type="presParOf" srcId="{C15BC7AC-EA31-49EE-A0C0-36EC4199D8F2}" destId="{D2F5C2BA-7A15-46E1-B013-2769DF60115B}" srcOrd="4" destOrd="0" presId="urn:microsoft.com/office/officeart/2005/8/layout/orgChart1"/>
    <dgm:cxn modelId="{1DC800FB-79AB-4B99-A9BD-EB256CCEA56F}" type="presParOf" srcId="{C15BC7AC-EA31-49EE-A0C0-36EC4199D8F2}" destId="{20647798-18A6-4295-86E8-229BC0C1E7A0}" srcOrd="5" destOrd="0" presId="urn:microsoft.com/office/officeart/2005/8/layout/orgChart1"/>
    <dgm:cxn modelId="{DB529ECD-6389-497B-9767-F8758F876B3E}" type="presParOf" srcId="{20647798-18A6-4295-86E8-229BC0C1E7A0}" destId="{D615A88D-1889-460C-914D-8FADF02CBC39}" srcOrd="0" destOrd="0" presId="urn:microsoft.com/office/officeart/2005/8/layout/orgChart1"/>
    <dgm:cxn modelId="{E9E53650-8DDE-422C-8F7B-7D4CC7ED543A}" type="presParOf" srcId="{D615A88D-1889-460C-914D-8FADF02CBC39}" destId="{26F8ABDE-A29E-4BFE-ABE7-C94E0F808EA7}" srcOrd="0" destOrd="0" presId="urn:microsoft.com/office/officeart/2005/8/layout/orgChart1"/>
    <dgm:cxn modelId="{518D4791-5C60-46DE-94A8-315CECE7B965}" type="presParOf" srcId="{D615A88D-1889-460C-914D-8FADF02CBC39}" destId="{02391973-2FB2-4F5E-8517-C27716E2960D}" srcOrd="1" destOrd="0" presId="urn:microsoft.com/office/officeart/2005/8/layout/orgChart1"/>
    <dgm:cxn modelId="{9A86F0CC-C5CA-4003-8A5C-5A84DAD8DB74}" type="presParOf" srcId="{20647798-18A6-4295-86E8-229BC0C1E7A0}" destId="{F83AFD3C-7F5A-44DA-AD01-454D9527C934}" srcOrd="1" destOrd="0" presId="urn:microsoft.com/office/officeart/2005/8/layout/orgChart1"/>
    <dgm:cxn modelId="{D089D5A0-B239-4098-9C25-DA68870C85FB}" type="presParOf" srcId="{20647798-18A6-4295-86E8-229BC0C1E7A0}" destId="{AAEE09A8-41F2-4AD0-B18D-AC8EDE0E1A9F}" srcOrd="2" destOrd="0" presId="urn:microsoft.com/office/officeart/2005/8/layout/orgChart1"/>
    <dgm:cxn modelId="{7705A7E0-086F-4977-B7A2-78843C2A3880}" type="presParOf" srcId="{C15BC7AC-EA31-49EE-A0C0-36EC4199D8F2}" destId="{F3F27DEB-02C5-470F-9716-0A6381B6D921}" srcOrd="6" destOrd="0" presId="urn:microsoft.com/office/officeart/2005/8/layout/orgChart1"/>
    <dgm:cxn modelId="{3336F0D5-6BF9-4D8D-8502-9ED87C84E711}" type="presParOf" srcId="{C15BC7AC-EA31-49EE-A0C0-36EC4199D8F2}" destId="{900C90E4-0BBF-4CAE-AFDE-2F9EA91A790C}" srcOrd="7" destOrd="0" presId="urn:microsoft.com/office/officeart/2005/8/layout/orgChart1"/>
    <dgm:cxn modelId="{12AF5538-268E-4CA6-9F16-63161DF58FE2}" type="presParOf" srcId="{900C90E4-0BBF-4CAE-AFDE-2F9EA91A790C}" destId="{9AD41CF8-A085-4252-BF2A-B7E05D50F15B}" srcOrd="0" destOrd="0" presId="urn:microsoft.com/office/officeart/2005/8/layout/orgChart1"/>
    <dgm:cxn modelId="{23284844-6626-4818-AF87-36C06F8EF6C9}" type="presParOf" srcId="{9AD41CF8-A085-4252-BF2A-B7E05D50F15B}" destId="{DC64FF26-31FD-4249-B716-DCEAB5AA130D}" srcOrd="0" destOrd="0" presId="urn:microsoft.com/office/officeart/2005/8/layout/orgChart1"/>
    <dgm:cxn modelId="{2085FE3C-8D73-4624-B2D7-D930B4C22D5D}" type="presParOf" srcId="{9AD41CF8-A085-4252-BF2A-B7E05D50F15B}" destId="{5BDA3D08-9ED1-4B55-960D-24C44807EB40}" srcOrd="1" destOrd="0" presId="urn:microsoft.com/office/officeart/2005/8/layout/orgChart1"/>
    <dgm:cxn modelId="{85F85021-ED50-4746-A719-7F42A50CBDDD}" type="presParOf" srcId="{900C90E4-0BBF-4CAE-AFDE-2F9EA91A790C}" destId="{ADD55AC1-AE12-430A-B79E-9AF1504EF663}" srcOrd="1" destOrd="0" presId="urn:microsoft.com/office/officeart/2005/8/layout/orgChart1"/>
    <dgm:cxn modelId="{89205C95-FAE4-4A56-9E7B-9DB28172D683}" type="presParOf" srcId="{900C90E4-0BBF-4CAE-AFDE-2F9EA91A790C}" destId="{43598731-ECAA-41D2-AE2E-1B277CBEDEE4}" srcOrd="2" destOrd="0" presId="urn:microsoft.com/office/officeart/2005/8/layout/orgChart1"/>
    <dgm:cxn modelId="{9FEB1DCF-FF8F-4EC9-8C66-503686B272F2}" type="presParOf" srcId="{C15BC7AC-EA31-49EE-A0C0-36EC4199D8F2}" destId="{01856B7D-A390-4D39-9679-21E227B7286B}" srcOrd="8" destOrd="0" presId="urn:microsoft.com/office/officeart/2005/8/layout/orgChart1"/>
    <dgm:cxn modelId="{C2501B3C-BF48-4C51-91D2-A308AE8AECA0}" type="presParOf" srcId="{C15BC7AC-EA31-49EE-A0C0-36EC4199D8F2}" destId="{AD3FE204-D2E3-43DA-B515-ED26D0A117DC}" srcOrd="9" destOrd="0" presId="urn:microsoft.com/office/officeart/2005/8/layout/orgChart1"/>
    <dgm:cxn modelId="{BC90B81B-457A-4B64-A6EF-7CDF8C4D03B1}" type="presParOf" srcId="{AD3FE204-D2E3-43DA-B515-ED26D0A117DC}" destId="{322EE115-EE85-4479-97F8-C8CB601809AD}" srcOrd="0" destOrd="0" presId="urn:microsoft.com/office/officeart/2005/8/layout/orgChart1"/>
    <dgm:cxn modelId="{BB3984DE-9D02-410F-A113-C5BCD8DEC27D}" type="presParOf" srcId="{322EE115-EE85-4479-97F8-C8CB601809AD}" destId="{7BBA3991-B5C4-4479-8807-C51CFEEEAB7E}" srcOrd="0" destOrd="0" presId="urn:microsoft.com/office/officeart/2005/8/layout/orgChart1"/>
    <dgm:cxn modelId="{DE0E0347-03D8-41C4-AB96-8BA56260048A}" type="presParOf" srcId="{322EE115-EE85-4479-97F8-C8CB601809AD}" destId="{4BB9F65F-61E1-4CE4-8BDE-6BDA1EA7F63A}" srcOrd="1" destOrd="0" presId="urn:microsoft.com/office/officeart/2005/8/layout/orgChart1"/>
    <dgm:cxn modelId="{306ACFD1-D1C2-4869-8A8F-AE60BF86AC04}" type="presParOf" srcId="{AD3FE204-D2E3-43DA-B515-ED26D0A117DC}" destId="{02215C96-B8E8-484A-8516-9310B847357A}" srcOrd="1" destOrd="0" presId="urn:microsoft.com/office/officeart/2005/8/layout/orgChart1"/>
    <dgm:cxn modelId="{FF5D90F3-5815-46E7-B4BB-DB159CD0B8DA}" type="presParOf" srcId="{AD3FE204-D2E3-43DA-B515-ED26D0A117DC}" destId="{38BB48A1-7EF0-47DD-A158-6E72B9649EEC}" srcOrd="2" destOrd="0" presId="urn:microsoft.com/office/officeart/2005/8/layout/orgChart1"/>
    <dgm:cxn modelId="{2C626FF3-0CBE-4069-8596-C2D6AA9894EA}" type="presParOf" srcId="{6ADB7C62-4E33-41AE-9A2E-282C66F16985}" destId="{99B3CA1E-B0C9-4EE4-9B1F-5570997556D9}"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856B7D-A390-4D39-9679-21E227B7286B}">
      <dsp:nvSpPr>
        <dsp:cNvPr id="0" name=""/>
        <dsp:cNvSpPr/>
      </dsp:nvSpPr>
      <dsp:spPr>
        <a:xfrm>
          <a:off x="3855104" y="1556439"/>
          <a:ext cx="542186" cy="3933119"/>
        </a:xfrm>
        <a:custGeom>
          <a:avLst/>
          <a:gdLst/>
          <a:ahLst/>
          <a:cxnLst/>
          <a:rect l="0" t="0" r="0" b="0"/>
          <a:pathLst>
            <a:path>
              <a:moveTo>
                <a:pt x="0" y="0"/>
              </a:moveTo>
              <a:lnTo>
                <a:pt x="0" y="3933119"/>
              </a:lnTo>
              <a:lnTo>
                <a:pt x="542186" y="3933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F27DEB-02C5-470F-9716-0A6381B6D921}">
      <dsp:nvSpPr>
        <dsp:cNvPr id="0" name=""/>
        <dsp:cNvSpPr/>
      </dsp:nvSpPr>
      <dsp:spPr>
        <a:xfrm>
          <a:off x="3855104" y="1556439"/>
          <a:ext cx="542186" cy="3117217"/>
        </a:xfrm>
        <a:custGeom>
          <a:avLst/>
          <a:gdLst/>
          <a:ahLst/>
          <a:cxnLst/>
          <a:rect l="0" t="0" r="0" b="0"/>
          <a:pathLst>
            <a:path>
              <a:moveTo>
                <a:pt x="0" y="0"/>
              </a:moveTo>
              <a:lnTo>
                <a:pt x="0" y="3117217"/>
              </a:lnTo>
              <a:lnTo>
                <a:pt x="542186" y="31172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F5C2BA-7A15-46E1-B013-2769DF60115B}">
      <dsp:nvSpPr>
        <dsp:cNvPr id="0" name=""/>
        <dsp:cNvSpPr/>
      </dsp:nvSpPr>
      <dsp:spPr>
        <a:xfrm>
          <a:off x="3855104" y="1556439"/>
          <a:ext cx="542186" cy="1514118"/>
        </a:xfrm>
        <a:custGeom>
          <a:avLst/>
          <a:gdLst/>
          <a:ahLst/>
          <a:cxnLst/>
          <a:rect l="0" t="0" r="0" b="0"/>
          <a:pathLst>
            <a:path>
              <a:moveTo>
                <a:pt x="0" y="0"/>
              </a:moveTo>
              <a:lnTo>
                <a:pt x="0" y="1514118"/>
              </a:lnTo>
              <a:lnTo>
                <a:pt x="542186" y="15141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442B21-40CF-4611-8B6A-24B4FA85FD2B}">
      <dsp:nvSpPr>
        <dsp:cNvPr id="0" name=""/>
        <dsp:cNvSpPr/>
      </dsp:nvSpPr>
      <dsp:spPr>
        <a:xfrm>
          <a:off x="3855104" y="1556439"/>
          <a:ext cx="542186" cy="714101"/>
        </a:xfrm>
        <a:custGeom>
          <a:avLst/>
          <a:gdLst/>
          <a:ahLst/>
          <a:cxnLst/>
          <a:rect l="0" t="0" r="0" b="0"/>
          <a:pathLst>
            <a:path>
              <a:moveTo>
                <a:pt x="0" y="0"/>
              </a:moveTo>
              <a:lnTo>
                <a:pt x="0" y="714101"/>
              </a:lnTo>
              <a:lnTo>
                <a:pt x="542186" y="7141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B573FB-19DF-4B59-96F7-2A8D98CC536C}">
      <dsp:nvSpPr>
        <dsp:cNvPr id="0" name=""/>
        <dsp:cNvSpPr/>
      </dsp:nvSpPr>
      <dsp:spPr>
        <a:xfrm>
          <a:off x="3855104" y="1556439"/>
          <a:ext cx="534236" cy="2339307"/>
        </a:xfrm>
        <a:custGeom>
          <a:avLst/>
          <a:gdLst/>
          <a:ahLst/>
          <a:cxnLst/>
          <a:rect l="0" t="0" r="0" b="0"/>
          <a:pathLst>
            <a:path>
              <a:moveTo>
                <a:pt x="0" y="0"/>
              </a:moveTo>
              <a:lnTo>
                <a:pt x="0" y="2339307"/>
              </a:lnTo>
              <a:lnTo>
                <a:pt x="534236" y="23393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DF0A6F-692D-421F-A673-35EC208D56CD}">
      <dsp:nvSpPr>
        <dsp:cNvPr id="0" name=""/>
        <dsp:cNvSpPr/>
      </dsp:nvSpPr>
      <dsp:spPr>
        <a:xfrm>
          <a:off x="2800509" y="692887"/>
          <a:ext cx="446429" cy="559469"/>
        </a:xfrm>
        <a:custGeom>
          <a:avLst/>
          <a:gdLst/>
          <a:ahLst/>
          <a:cxnLst/>
          <a:rect l="0" t="0" r="0" b="0"/>
          <a:pathLst>
            <a:path>
              <a:moveTo>
                <a:pt x="0" y="0"/>
              </a:moveTo>
              <a:lnTo>
                <a:pt x="0" y="559469"/>
              </a:lnTo>
              <a:lnTo>
                <a:pt x="446429" y="5594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74BB92-A1E9-44E0-B9DE-ED2061249849}">
      <dsp:nvSpPr>
        <dsp:cNvPr id="0" name=""/>
        <dsp:cNvSpPr/>
      </dsp:nvSpPr>
      <dsp:spPr>
        <a:xfrm>
          <a:off x="1216330" y="1556445"/>
          <a:ext cx="510062" cy="715408"/>
        </a:xfrm>
        <a:custGeom>
          <a:avLst/>
          <a:gdLst/>
          <a:ahLst/>
          <a:cxnLst/>
          <a:rect l="0" t="0" r="0" b="0"/>
          <a:pathLst>
            <a:path>
              <a:moveTo>
                <a:pt x="510062" y="0"/>
              </a:moveTo>
              <a:lnTo>
                <a:pt x="510062" y="715408"/>
              </a:lnTo>
              <a:lnTo>
                <a:pt x="0" y="7154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DA2353-758B-419C-B8C8-4AB86EA05B75}">
      <dsp:nvSpPr>
        <dsp:cNvPr id="0" name=""/>
        <dsp:cNvSpPr/>
      </dsp:nvSpPr>
      <dsp:spPr>
        <a:xfrm>
          <a:off x="1216330" y="1556445"/>
          <a:ext cx="510062" cy="1531998"/>
        </a:xfrm>
        <a:custGeom>
          <a:avLst/>
          <a:gdLst/>
          <a:ahLst/>
          <a:cxnLst/>
          <a:rect l="0" t="0" r="0" b="0"/>
          <a:pathLst>
            <a:path>
              <a:moveTo>
                <a:pt x="510062" y="0"/>
              </a:moveTo>
              <a:lnTo>
                <a:pt x="510062" y="1531998"/>
              </a:lnTo>
              <a:lnTo>
                <a:pt x="0" y="153199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A67745-2B1A-4C4E-89D9-415074D149F3}">
      <dsp:nvSpPr>
        <dsp:cNvPr id="0" name=""/>
        <dsp:cNvSpPr/>
      </dsp:nvSpPr>
      <dsp:spPr>
        <a:xfrm>
          <a:off x="1216330" y="1556445"/>
          <a:ext cx="510062" cy="2338577"/>
        </a:xfrm>
        <a:custGeom>
          <a:avLst/>
          <a:gdLst/>
          <a:ahLst/>
          <a:cxnLst/>
          <a:rect l="0" t="0" r="0" b="0"/>
          <a:pathLst>
            <a:path>
              <a:moveTo>
                <a:pt x="510062" y="0"/>
              </a:moveTo>
              <a:lnTo>
                <a:pt x="510062" y="2338577"/>
              </a:lnTo>
              <a:lnTo>
                <a:pt x="0" y="233857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E32949-427C-4696-9071-43FE1003DAB7}">
      <dsp:nvSpPr>
        <dsp:cNvPr id="0" name=""/>
        <dsp:cNvSpPr/>
      </dsp:nvSpPr>
      <dsp:spPr>
        <a:xfrm>
          <a:off x="1216330" y="1556445"/>
          <a:ext cx="510062" cy="3129678"/>
        </a:xfrm>
        <a:custGeom>
          <a:avLst/>
          <a:gdLst/>
          <a:ahLst/>
          <a:cxnLst/>
          <a:rect l="0" t="0" r="0" b="0"/>
          <a:pathLst>
            <a:path>
              <a:moveTo>
                <a:pt x="510062" y="0"/>
              </a:moveTo>
              <a:lnTo>
                <a:pt x="510062" y="3129678"/>
              </a:lnTo>
              <a:lnTo>
                <a:pt x="0" y="3129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6579E3-44A7-4CE0-AE1C-ECC567DA0E3D}">
      <dsp:nvSpPr>
        <dsp:cNvPr id="0" name=""/>
        <dsp:cNvSpPr/>
      </dsp:nvSpPr>
      <dsp:spPr>
        <a:xfrm>
          <a:off x="1216330" y="1556445"/>
          <a:ext cx="510062" cy="3937022"/>
        </a:xfrm>
        <a:custGeom>
          <a:avLst/>
          <a:gdLst/>
          <a:ahLst/>
          <a:cxnLst/>
          <a:rect l="0" t="0" r="0" b="0"/>
          <a:pathLst>
            <a:path>
              <a:moveTo>
                <a:pt x="510062" y="0"/>
              </a:moveTo>
              <a:lnTo>
                <a:pt x="510062" y="3937022"/>
              </a:lnTo>
              <a:lnTo>
                <a:pt x="0" y="393702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D23E0A-9D67-44E4-BB44-72CE6B3C34A5}">
      <dsp:nvSpPr>
        <dsp:cNvPr id="0" name=""/>
        <dsp:cNvSpPr/>
      </dsp:nvSpPr>
      <dsp:spPr>
        <a:xfrm>
          <a:off x="2334558" y="692887"/>
          <a:ext cx="465951" cy="559475"/>
        </a:xfrm>
        <a:custGeom>
          <a:avLst/>
          <a:gdLst/>
          <a:ahLst/>
          <a:cxnLst/>
          <a:rect l="0" t="0" r="0" b="0"/>
          <a:pathLst>
            <a:path>
              <a:moveTo>
                <a:pt x="465951" y="0"/>
              </a:moveTo>
              <a:lnTo>
                <a:pt x="465951" y="559475"/>
              </a:lnTo>
              <a:lnTo>
                <a:pt x="0" y="5594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D31FF2-CCC6-401E-8148-C6B1FE673039}">
      <dsp:nvSpPr>
        <dsp:cNvPr id="0" name=""/>
        <dsp:cNvSpPr/>
      </dsp:nvSpPr>
      <dsp:spPr>
        <a:xfrm>
          <a:off x="2192344" y="84722"/>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Twin Steel Box Girders</a:t>
          </a:r>
        </a:p>
      </dsp:txBody>
      <dsp:txXfrm>
        <a:off x="2192344" y="84722"/>
        <a:ext cx="1216330" cy="608165"/>
      </dsp:txXfrm>
    </dsp:sp>
    <dsp:sp modelId="{617B3BAA-EE70-470C-8A5F-CC8C9092F754}">
      <dsp:nvSpPr>
        <dsp:cNvPr id="0" name=""/>
        <dsp:cNvSpPr/>
      </dsp:nvSpPr>
      <dsp:spPr>
        <a:xfrm>
          <a:off x="1118227" y="948280"/>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Simple Span</a:t>
          </a:r>
        </a:p>
      </dsp:txBody>
      <dsp:txXfrm>
        <a:off x="1118227" y="948280"/>
        <a:ext cx="1216330" cy="608165"/>
      </dsp:txXfrm>
    </dsp:sp>
    <dsp:sp modelId="{624C1FCF-4F87-4A1A-A6F4-E86DF15743A0}">
      <dsp:nvSpPr>
        <dsp:cNvPr id="0" name=""/>
        <dsp:cNvSpPr/>
      </dsp:nvSpPr>
      <dsp:spPr>
        <a:xfrm>
          <a:off x="0" y="5189384"/>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en-US" sz="800" kern="1200">
            <a:latin typeface="Times New Roman" panose="02020603050405020304" pitchFamily="18" charset="0"/>
            <a:cs typeface="Times New Roman" panose="02020603050405020304" pitchFamily="18" charset="0"/>
          </a:endParaRP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400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=774</a:t>
          </a:r>
        </a:p>
        <a:p>
          <a:pPr lvl="0" algn="ctr" defTabSz="355600">
            <a:lnSpc>
              <a:spcPct val="90000"/>
            </a:lnSpc>
            <a:spcBef>
              <a:spcPct val="0"/>
            </a:spcBef>
            <a:spcAft>
              <a:spcPct val="35000"/>
            </a:spcAft>
          </a:pPr>
          <a:endParaRPr lang="en-US" sz="800" kern="1200">
            <a:latin typeface="Times New Roman" panose="02020603050405020304" pitchFamily="18" charset="0"/>
            <a:cs typeface="Times New Roman" panose="02020603050405020304" pitchFamily="18" charset="0"/>
          </a:endParaRPr>
        </a:p>
      </dsp:txBody>
      <dsp:txXfrm>
        <a:off x="0" y="5189384"/>
        <a:ext cx="1216330" cy="608165"/>
      </dsp:txXfrm>
    </dsp:sp>
    <dsp:sp modelId="{A7DADB44-516E-4CBB-9837-25EC9CD1C35A}">
      <dsp:nvSpPr>
        <dsp:cNvPr id="0" name=""/>
        <dsp:cNvSpPr/>
      </dsp:nvSpPr>
      <dsp:spPr>
        <a:xfrm>
          <a:off x="0" y="4382041"/>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300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=490</a:t>
          </a:r>
        </a:p>
      </dsp:txBody>
      <dsp:txXfrm>
        <a:off x="0" y="4382041"/>
        <a:ext cx="1216330" cy="608165"/>
      </dsp:txXfrm>
    </dsp:sp>
    <dsp:sp modelId="{F248FCCA-9EAE-4382-83CE-72D5DC9137B1}">
      <dsp:nvSpPr>
        <dsp:cNvPr id="0" name=""/>
        <dsp:cNvSpPr/>
      </dsp:nvSpPr>
      <dsp:spPr>
        <a:xfrm>
          <a:off x="0" y="3590939"/>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250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=400</a:t>
          </a:r>
        </a:p>
      </dsp:txBody>
      <dsp:txXfrm>
        <a:off x="0" y="3590939"/>
        <a:ext cx="1216330" cy="608165"/>
      </dsp:txXfrm>
    </dsp:sp>
    <dsp:sp modelId="{7F3E6A68-64D2-45C4-A35C-E2200885389C}">
      <dsp:nvSpPr>
        <dsp:cNvPr id="0" name=""/>
        <dsp:cNvSpPr/>
      </dsp:nvSpPr>
      <dsp:spPr>
        <a:xfrm>
          <a:off x="0" y="2784360"/>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200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=280</a:t>
          </a:r>
        </a:p>
      </dsp:txBody>
      <dsp:txXfrm>
        <a:off x="0" y="2784360"/>
        <a:ext cx="1216330" cy="608165"/>
      </dsp:txXfrm>
    </dsp:sp>
    <dsp:sp modelId="{80D8296F-031E-491F-A36B-8CBAD5A002E7}">
      <dsp:nvSpPr>
        <dsp:cNvPr id="0" name=""/>
        <dsp:cNvSpPr/>
      </dsp:nvSpPr>
      <dsp:spPr>
        <a:xfrm>
          <a:off x="0" y="1967771"/>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150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=175</a:t>
          </a:r>
        </a:p>
      </dsp:txBody>
      <dsp:txXfrm>
        <a:off x="0" y="1967771"/>
        <a:ext cx="1216330" cy="608165"/>
      </dsp:txXfrm>
    </dsp:sp>
    <dsp:sp modelId="{79060ADC-82AD-4572-AD82-D9F930BA09DC}">
      <dsp:nvSpPr>
        <dsp:cNvPr id="0" name=""/>
        <dsp:cNvSpPr/>
      </dsp:nvSpPr>
      <dsp:spPr>
        <a:xfrm>
          <a:off x="3246939" y="948273"/>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Multi Spans</a:t>
          </a:r>
        </a:p>
      </dsp:txBody>
      <dsp:txXfrm>
        <a:off x="3246939" y="948273"/>
        <a:ext cx="1216330" cy="608165"/>
      </dsp:txXfrm>
    </dsp:sp>
    <dsp:sp modelId="{21582E63-F31C-4122-A068-F57C60C90743}">
      <dsp:nvSpPr>
        <dsp:cNvPr id="0" name=""/>
        <dsp:cNvSpPr/>
      </dsp:nvSpPr>
      <dsp:spPr>
        <a:xfrm>
          <a:off x="4389341" y="3591663"/>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250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=400</a:t>
          </a:r>
          <a:endParaRPr lang="en-US" sz="800" kern="1200"/>
        </a:p>
      </dsp:txBody>
      <dsp:txXfrm>
        <a:off x="4389341" y="3591663"/>
        <a:ext cx="1216330" cy="608165"/>
      </dsp:txXfrm>
    </dsp:sp>
    <dsp:sp modelId="{DE1F9070-40FB-4A65-A79A-CD741FA57E7B}">
      <dsp:nvSpPr>
        <dsp:cNvPr id="0" name=""/>
        <dsp:cNvSpPr/>
      </dsp:nvSpPr>
      <dsp:spPr>
        <a:xfrm>
          <a:off x="4397290" y="1966457"/>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150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=175</a:t>
          </a:r>
          <a:endParaRPr lang="en-US" sz="800" kern="1200"/>
        </a:p>
      </dsp:txBody>
      <dsp:txXfrm>
        <a:off x="4397290" y="1966457"/>
        <a:ext cx="1216330" cy="608165"/>
      </dsp:txXfrm>
    </dsp:sp>
    <dsp:sp modelId="{26F8ABDE-A29E-4BFE-ABE7-C94E0F808EA7}">
      <dsp:nvSpPr>
        <dsp:cNvPr id="0" name=""/>
        <dsp:cNvSpPr/>
      </dsp:nvSpPr>
      <dsp:spPr>
        <a:xfrm>
          <a:off x="4397290" y="2766474"/>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200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=280</a:t>
          </a:r>
          <a:endParaRPr lang="en-US" sz="800" kern="1200"/>
        </a:p>
      </dsp:txBody>
      <dsp:txXfrm>
        <a:off x="4397290" y="2766474"/>
        <a:ext cx="1216330" cy="608165"/>
      </dsp:txXfrm>
    </dsp:sp>
    <dsp:sp modelId="{DC64FF26-31FD-4249-B716-DCEAB5AA130D}">
      <dsp:nvSpPr>
        <dsp:cNvPr id="0" name=""/>
        <dsp:cNvSpPr/>
      </dsp:nvSpPr>
      <dsp:spPr>
        <a:xfrm>
          <a:off x="4397290" y="4369573"/>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300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=490</a:t>
          </a:r>
          <a:endParaRPr lang="en-US" sz="800" kern="1200"/>
        </a:p>
      </dsp:txBody>
      <dsp:txXfrm>
        <a:off x="4397290" y="4369573"/>
        <a:ext cx="1216330" cy="608165"/>
      </dsp:txXfrm>
    </dsp:sp>
    <dsp:sp modelId="{7BBA3991-B5C4-4479-8807-C51CFEEEAB7E}">
      <dsp:nvSpPr>
        <dsp:cNvPr id="0" name=""/>
        <dsp:cNvSpPr/>
      </dsp:nvSpPr>
      <dsp:spPr>
        <a:xfrm>
          <a:off x="4397290" y="5185475"/>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400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=774</a:t>
          </a:r>
          <a:endParaRPr lang="en-US" sz="800" kern="1200"/>
        </a:p>
      </dsp:txBody>
      <dsp:txXfrm>
        <a:off x="4397290" y="5185475"/>
        <a:ext cx="1216330" cy="6081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39400-D950-4F70-9C5E-A6EB0C56D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7789</Words>
  <Characters>44398</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Toshiba-User</dc:creator>
  <cp:keywords/>
  <dc:description/>
  <cp:lastModifiedBy>Mohammad Abedin</cp:lastModifiedBy>
  <cp:revision>1</cp:revision>
  <cp:lastPrinted>2020-01-03T20:03:00Z</cp:lastPrinted>
  <dcterms:created xsi:type="dcterms:W3CDTF">2020-01-03T19:45:00Z</dcterms:created>
  <dcterms:modified xsi:type="dcterms:W3CDTF">2020-01-06T00:48:00Z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http://www.zotero.org/styles/journal-of-bridge-engineering</vt:lpwstr>
  </property>
  <property fmtid="{D5CDD505-2E9C-101B-9397-08002B2CF9AE}" pid="15" name="Mendeley Recent Style Name 6_1">
    <vt:lpwstr>Journal of Bridge Engineering</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http://www.zotero.org/styles/transportation-research-record</vt:lpwstr>
  </property>
  <property fmtid="{D5CDD505-2E9C-101B-9397-08002B2CF9AE}" pid="21" name="Mendeley Recent Style Name 9_1">
    <vt:lpwstr>Transportation Research Record: Journal of the Transportation Research Board</vt:lpwstr>
  </property>
  <property fmtid="{D5CDD505-2E9C-101B-9397-08002B2CF9AE}" pid="22" name="Mendeley Document_1">
    <vt:lpwstr>True</vt:lpwstr>
  </property>
  <property fmtid="{D5CDD505-2E9C-101B-9397-08002B2CF9AE}" pid="23" name="Mendeley Unique User Id_1">
    <vt:lpwstr>0724dde9-d824-32a4-b449-2c3a1682a096</vt:lpwstr>
  </property>
  <property fmtid="{D5CDD505-2E9C-101B-9397-08002B2CF9AE}" pid="24" name="Mendeley Citation Style_1">
    <vt:lpwstr>http://www.zotero.org/styles/journal-of-bridge-engineering</vt:lpwstr>
  </property>
</Properties>
</file>