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97799" w:rsidRPr="00021346" w:rsidRDefault="00497799" w:rsidP="00497799">
      <w:pPr>
        <w:spacing w:line="276" w:lineRule="auto"/>
        <w:jc w:val="center"/>
        <w:rPr>
          <w:rFonts w:eastAsia="Times New Roman" w:cs="Times New Roman"/>
          <w:b/>
          <w:bCs/>
          <w:color w:val="000000"/>
          <w:sz w:val="32"/>
          <w:szCs w:val="32"/>
        </w:rPr>
      </w:pPr>
      <w:r w:rsidRPr="00021346">
        <w:rPr>
          <w:rFonts w:eastAsia="Times New Roman" w:cs="Times New Roman"/>
          <w:b/>
          <w:bCs/>
          <w:color w:val="000000"/>
          <w:sz w:val="32"/>
          <w:szCs w:val="32"/>
        </w:rPr>
        <w:t>Assessment of spatiotemporal gait parameters using a deep learning algorithm-based markerless motion capture system</w:t>
      </w:r>
    </w:p>
    <w:p w:rsidR="00497799" w:rsidRDefault="00497799" w:rsidP="00497799">
      <w:pPr>
        <w:spacing w:line="276" w:lineRule="auto"/>
        <w:jc w:val="center"/>
        <w:rPr>
          <w:rFonts w:eastAsia="Times New Roman" w:cs="Times New Roman"/>
          <w:b/>
          <w:bCs/>
          <w:sz w:val="28"/>
          <w:szCs w:val="28"/>
        </w:rPr>
      </w:pPr>
    </w:p>
    <w:p w:rsidR="00497799" w:rsidRPr="00EB3274" w:rsidRDefault="00497799" w:rsidP="00497799">
      <w:pPr>
        <w:spacing w:line="276" w:lineRule="auto"/>
        <w:jc w:val="center"/>
        <w:rPr>
          <w:rFonts w:eastAsia="Times New Roman" w:cs="Times New Roman"/>
          <w:b/>
          <w:bCs/>
          <w:sz w:val="28"/>
          <w:szCs w:val="28"/>
        </w:rPr>
      </w:pPr>
    </w:p>
    <w:p w:rsidR="00497799" w:rsidRDefault="00497799" w:rsidP="00497799">
      <w:pPr>
        <w:spacing w:line="276" w:lineRule="auto"/>
        <w:jc w:val="center"/>
        <w:rPr>
          <w:rFonts w:eastAsia="Times New Roman" w:cs="Times New Roman"/>
          <w:color w:val="000000"/>
          <w:sz w:val="22"/>
          <w:szCs w:val="22"/>
        </w:rPr>
      </w:pPr>
      <w:r w:rsidRPr="00787590">
        <w:rPr>
          <w:rFonts w:eastAsia="Times New Roman" w:cs="Times New Roman"/>
          <w:color w:val="000000"/>
          <w:sz w:val="22"/>
          <w:szCs w:val="22"/>
        </w:rPr>
        <w:t>Robert Kanko</w:t>
      </w:r>
      <w:r w:rsidRPr="00787590">
        <w:rPr>
          <w:rFonts w:eastAsia="Times New Roman" w:cs="Times New Roman"/>
          <w:color w:val="000000"/>
          <w:sz w:val="22"/>
          <w:szCs w:val="22"/>
          <w:vertAlign w:val="superscript"/>
        </w:rPr>
        <w:t>1</w:t>
      </w:r>
      <w:r>
        <w:rPr>
          <w:rFonts w:eastAsia="Times New Roman" w:cs="Times New Roman"/>
          <w:color w:val="000000"/>
          <w:sz w:val="22"/>
          <w:szCs w:val="22"/>
        </w:rPr>
        <w:t>*</w:t>
      </w:r>
      <w:r w:rsidRPr="00787590">
        <w:rPr>
          <w:rFonts w:eastAsia="Times New Roman" w:cs="Times New Roman"/>
          <w:color w:val="000000"/>
          <w:sz w:val="22"/>
          <w:szCs w:val="22"/>
        </w:rPr>
        <w:t>, Gerda Strutzenberger</w:t>
      </w:r>
      <w:r w:rsidRPr="00787590">
        <w:rPr>
          <w:rFonts w:eastAsia="Times New Roman" w:cs="Times New Roman"/>
          <w:color w:val="000000"/>
          <w:sz w:val="22"/>
          <w:szCs w:val="22"/>
          <w:vertAlign w:val="superscript"/>
        </w:rPr>
        <w:t>2</w:t>
      </w:r>
      <w:r w:rsidRPr="00787590">
        <w:rPr>
          <w:rFonts w:eastAsia="Times New Roman" w:cs="Times New Roman"/>
          <w:color w:val="000000"/>
          <w:sz w:val="22"/>
          <w:szCs w:val="22"/>
        </w:rPr>
        <w:t>, Marcus Brown</w:t>
      </w:r>
      <w:r w:rsidRPr="00787590">
        <w:rPr>
          <w:rFonts w:eastAsia="Times New Roman" w:cs="Times New Roman"/>
          <w:color w:val="000000"/>
          <w:sz w:val="22"/>
          <w:szCs w:val="22"/>
          <w:vertAlign w:val="superscript"/>
        </w:rPr>
        <w:t>3</w:t>
      </w:r>
      <w:r w:rsidRPr="00787590">
        <w:rPr>
          <w:rFonts w:eastAsia="Times New Roman" w:cs="Times New Roman"/>
          <w:color w:val="000000"/>
          <w:sz w:val="22"/>
          <w:szCs w:val="22"/>
        </w:rPr>
        <w:t>, Scott Selbie</w:t>
      </w:r>
      <w:r w:rsidRPr="00787590">
        <w:rPr>
          <w:rFonts w:eastAsia="Times New Roman" w:cs="Times New Roman"/>
          <w:color w:val="000000"/>
          <w:sz w:val="22"/>
          <w:szCs w:val="22"/>
          <w:vertAlign w:val="superscript"/>
        </w:rPr>
        <w:t>3</w:t>
      </w:r>
      <w:r w:rsidRPr="00787590">
        <w:rPr>
          <w:rFonts w:eastAsia="Times New Roman" w:cs="Times New Roman"/>
          <w:color w:val="000000"/>
          <w:sz w:val="22"/>
          <w:szCs w:val="22"/>
        </w:rPr>
        <w:t>, Kevin Deluzio</w:t>
      </w:r>
      <w:r w:rsidRPr="00787590">
        <w:rPr>
          <w:rFonts w:eastAsia="Times New Roman" w:cs="Times New Roman"/>
          <w:color w:val="000000"/>
          <w:sz w:val="22"/>
          <w:szCs w:val="22"/>
          <w:vertAlign w:val="superscript"/>
        </w:rPr>
        <w:t>1</w:t>
      </w:r>
    </w:p>
    <w:p w:rsidR="00497799" w:rsidRPr="00DE7471" w:rsidRDefault="00497799" w:rsidP="00497799">
      <w:pPr>
        <w:spacing w:line="276" w:lineRule="auto"/>
        <w:jc w:val="center"/>
        <w:rPr>
          <w:rFonts w:eastAsia="Times New Roman" w:cs="Times New Roman"/>
          <w:color w:val="000000"/>
          <w:sz w:val="22"/>
          <w:szCs w:val="22"/>
        </w:rPr>
      </w:pPr>
    </w:p>
    <w:p w:rsidR="00497799" w:rsidRPr="00787590" w:rsidRDefault="00497799" w:rsidP="00497799">
      <w:pPr>
        <w:spacing w:line="276" w:lineRule="auto"/>
        <w:jc w:val="center"/>
        <w:rPr>
          <w:rFonts w:eastAsia="Times New Roman" w:cs="Times New Roman"/>
          <w:color w:val="000000"/>
          <w:sz w:val="22"/>
          <w:szCs w:val="22"/>
        </w:rPr>
      </w:pPr>
      <w:r w:rsidRPr="00787590">
        <w:rPr>
          <w:rFonts w:eastAsia="Times New Roman" w:cs="Times New Roman"/>
          <w:color w:val="000000"/>
          <w:sz w:val="22"/>
          <w:szCs w:val="22"/>
          <w:vertAlign w:val="superscript"/>
        </w:rPr>
        <w:t>1</w:t>
      </w:r>
      <w:r w:rsidRPr="00787590">
        <w:rPr>
          <w:rFonts w:eastAsia="Times New Roman" w:cs="Times New Roman"/>
          <w:color w:val="000000"/>
          <w:sz w:val="22"/>
          <w:szCs w:val="22"/>
        </w:rPr>
        <w:t>Department of Mechanical &amp; Materials Engineering, Queen’s University, Kingston, Canada</w:t>
      </w:r>
    </w:p>
    <w:p w:rsidR="00497799" w:rsidRPr="00787590" w:rsidRDefault="00497799" w:rsidP="00497799">
      <w:pPr>
        <w:spacing w:line="276" w:lineRule="auto"/>
        <w:jc w:val="center"/>
        <w:rPr>
          <w:rFonts w:eastAsia="Times New Roman" w:cs="Times New Roman"/>
          <w:color w:val="000000"/>
          <w:sz w:val="22"/>
          <w:szCs w:val="22"/>
        </w:rPr>
      </w:pPr>
      <w:r w:rsidRPr="00787590">
        <w:rPr>
          <w:rFonts w:eastAsia="Times New Roman" w:cs="Times New Roman"/>
          <w:color w:val="000000"/>
          <w:sz w:val="22"/>
          <w:szCs w:val="22"/>
          <w:vertAlign w:val="superscript"/>
        </w:rPr>
        <w:t>2</w:t>
      </w:r>
      <w:r w:rsidRPr="00787590">
        <w:rPr>
          <w:rFonts w:eastAsia="Times New Roman" w:cs="Times New Roman"/>
          <w:color w:val="000000"/>
          <w:sz w:val="22"/>
          <w:szCs w:val="22"/>
        </w:rPr>
        <w:t>Department of Sport and Exercise Science, University of Salzburg, Salzburg, Austria</w:t>
      </w:r>
    </w:p>
    <w:p w:rsidR="00497799" w:rsidRDefault="00497799" w:rsidP="00497799">
      <w:pPr>
        <w:spacing w:line="276" w:lineRule="auto"/>
        <w:jc w:val="center"/>
        <w:rPr>
          <w:rFonts w:eastAsia="Times New Roman" w:cs="Times New Roman"/>
          <w:color w:val="000000"/>
          <w:sz w:val="22"/>
          <w:szCs w:val="22"/>
        </w:rPr>
      </w:pPr>
      <w:r w:rsidRPr="00787590">
        <w:rPr>
          <w:rFonts w:eastAsia="Times New Roman" w:cs="Times New Roman"/>
          <w:color w:val="000000"/>
          <w:sz w:val="22"/>
          <w:szCs w:val="22"/>
          <w:vertAlign w:val="superscript"/>
        </w:rPr>
        <w:t>3</w:t>
      </w:r>
      <w:r w:rsidRPr="00787590">
        <w:rPr>
          <w:rFonts w:eastAsia="Times New Roman" w:cs="Times New Roman"/>
          <w:color w:val="000000"/>
          <w:sz w:val="22"/>
          <w:szCs w:val="22"/>
        </w:rPr>
        <w:t>Theia Markerless Inc., Kingston, Canada</w:t>
      </w:r>
    </w:p>
    <w:p w:rsidR="00497799" w:rsidRDefault="00497799" w:rsidP="00497799">
      <w:pPr>
        <w:spacing w:line="276" w:lineRule="auto"/>
        <w:jc w:val="center"/>
        <w:rPr>
          <w:rFonts w:eastAsia="Times New Roman" w:cs="Times New Roman"/>
          <w:color w:val="000000"/>
          <w:sz w:val="22"/>
          <w:szCs w:val="22"/>
        </w:rPr>
      </w:pPr>
    </w:p>
    <w:p w:rsidR="00497799" w:rsidRDefault="00497799" w:rsidP="00497799">
      <w:pPr>
        <w:spacing w:line="276" w:lineRule="auto"/>
        <w:jc w:val="center"/>
        <w:rPr>
          <w:rFonts w:eastAsia="Times New Roman" w:cs="Times New Roman"/>
          <w:color w:val="000000"/>
          <w:sz w:val="22"/>
          <w:szCs w:val="22"/>
        </w:rPr>
      </w:pPr>
      <w:r>
        <w:rPr>
          <w:rFonts w:eastAsia="Times New Roman" w:cs="Times New Roman"/>
          <w:color w:val="000000"/>
          <w:sz w:val="22"/>
          <w:szCs w:val="22"/>
        </w:rPr>
        <w:t xml:space="preserve">*Correspondence: </w:t>
      </w:r>
      <w:r w:rsidRPr="003856B5">
        <w:rPr>
          <w:rFonts w:eastAsia="Times New Roman" w:cs="Times New Roman"/>
          <w:color w:val="000000"/>
          <w:sz w:val="22"/>
          <w:szCs w:val="22"/>
        </w:rPr>
        <w:t>r.kanko@queensu.ca</w:t>
      </w:r>
    </w:p>
    <w:p w:rsidR="00497799" w:rsidRPr="00EB3274" w:rsidRDefault="00497799" w:rsidP="00497799">
      <w:pPr>
        <w:spacing w:line="276" w:lineRule="auto"/>
        <w:jc w:val="center"/>
        <w:rPr>
          <w:rFonts w:eastAsia="Times New Roman" w:cs="Times New Roman"/>
          <w:color w:val="000000"/>
          <w:sz w:val="22"/>
          <w:szCs w:val="22"/>
        </w:rPr>
      </w:pPr>
    </w:p>
    <w:p w:rsidR="00497799" w:rsidRDefault="00497799" w:rsidP="00497799">
      <w:pPr>
        <w:spacing w:line="276" w:lineRule="auto"/>
        <w:rPr>
          <w:rFonts w:eastAsia="Times New Roman" w:cs="Times New Roman"/>
          <w:b/>
          <w:bCs/>
          <w:color w:val="000000"/>
          <w:sz w:val="22"/>
          <w:szCs w:val="22"/>
        </w:rPr>
      </w:pPr>
    </w:p>
    <w:p w:rsidR="00497799" w:rsidRDefault="00497799" w:rsidP="00497799">
      <w:pPr>
        <w:spacing w:line="276" w:lineRule="auto"/>
        <w:rPr>
          <w:rFonts w:eastAsia="Times New Roman" w:cs="Times New Roman"/>
          <w:b/>
          <w:bCs/>
          <w:color w:val="000000"/>
          <w:sz w:val="22"/>
          <w:szCs w:val="22"/>
        </w:rPr>
      </w:pPr>
    </w:p>
    <w:p w:rsidR="00497799" w:rsidRPr="007C232A" w:rsidRDefault="00497799" w:rsidP="00497799">
      <w:pPr>
        <w:spacing w:line="360" w:lineRule="auto"/>
        <w:rPr>
          <w:rFonts w:eastAsia="Times New Roman" w:cs="Times New Roman"/>
          <w:color w:val="000000"/>
          <w:sz w:val="22"/>
          <w:szCs w:val="22"/>
        </w:rPr>
      </w:pPr>
      <w:r w:rsidRPr="007C232A">
        <w:rPr>
          <w:rFonts w:eastAsia="Times New Roman" w:cs="Times New Roman"/>
          <w:b/>
          <w:bCs/>
          <w:color w:val="000000"/>
          <w:sz w:val="22"/>
          <w:szCs w:val="22"/>
        </w:rPr>
        <w:t>Abstract</w:t>
      </w:r>
    </w:p>
    <w:p w:rsidR="00497799" w:rsidRDefault="00497799" w:rsidP="00497799">
      <w:pPr>
        <w:spacing w:line="360" w:lineRule="auto"/>
        <w:rPr>
          <w:rFonts w:eastAsia="Times New Roman" w:cs="Times New Roman"/>
          <w:sz w:val="22"/>
          <w:szCs w:val="22"/>
        </w:rPr>
      </w:pPr>
      <w:r w:rsidRPr="007009B4">
        <w:rPr>
          <w:rFonts w:eastAsia="Times New Roman" w:cs="Times New Roman"/>
          <w:color w:val="000000"/>
          <w:sz w:val="22"/>
          <w:szCs w:val="22"/>
        </w:rPr>
        <w:t>Spatiotemporal parameters can characterize the gait patterns of individuals, allowing assessment of their health status and detection of clinically meaningful changes in their gait. Video-based markerless motion capture is a user-friendly, inexpensive, and widely applicable technology that could reduce the barriers to measuring spatiotemporal gait parameters in clinical and more diverse settings. Two studies were performed to determine whether gait parameters measured using markerless motion capture demonstrate concurrent validity with those measured using marker-based motion capture and pressure sensitive gait mats. For the first study, thirty healthy adults performed treadmill gait at self-selected speeds while marker-based motion capture and synchronized video data were recorded simultaneously. For the second study, twenty-five healthy adults performed over-ground gait at self-selected speeds while footfalls were recorded using a gait mat and synchronized video data were recorded simultaneously. Kinematic heel-strike and toe-off gait events were used to identify the same gait cycles between systems. Nine spatiotemporal gait parameters were measured by each system and directly compared between systems. Measurements were compared using Bland-Altman methods, mean differences, Pearson correlation coefficients, and intraclass correlation coefficients. The results indicate that markerless measurements of spatiotemporal gait parameters have good to excellent agreement with marker-based motion capture and gait mat systems, except for stance time and double limb support time relative to both systems and stride width relative to the gait mat. These findings indicate that markerless motion capture can adequately measure spatiotemporal gait parameters during treadmill and overground gait.</w:t>
      </w:r>
    </w:p>
    <w:p w:rsidR="00497799" w:rsidRPr="007C232A" w:rsidRDefault="00497799" w:rsidP="00497799">
      <w:pPr>
        <w:spacing w:line="276" w:lineRule="auto"/>
        <w:rPr>
          <w:rFonts w:eastAsia="Times New Roman" w:cs="Times New Roman"/>
          <w:sz w:val="22"/>
          <w:szCs w:val="22"/>
        </w:rPr>
      </w:pPr>
    </w:p>
    <w:p w:rsidR="00497799" w:rsidRDefault="00497799" w:rsidP="00497799">
      <w:pPr>
        <w:spacing w:after="240" w:line="276" w:lineRule="auto"/>
        <w:rPr>
          <w:rFonts w:eastAsia="Times New Roman" w:cs="Times New Roman"/>
          <w:b/>
          <w:bCs/>
          <w:sz w:val="22"/>
          <w:szCs w:val="22"/>
        </w:rPr>
      </w:pPr>
    </w:p>
    <w:p w:rsidR="00497799" w:rsidRDefault="00497799" w:rsidP="00497799">
      <w:pPr>
        <w:spacing w:after="240" w:line="276" w:lineRule="auto"/>
        <w:rPr>
          <w:rFonts w:eastAsia="Times New Roman" w:cs="Times New Roman"/>
          <w:b/>
          <w:bCs/>
          <w:color w:val="000000"/>
          <w:sz w:val="22"/>
          <w:szCs w:val="22"/>
        </w:rPr>
      </w:pPr>
      <w:r w:rsidRPr="007C232A">
        <w:rPr>
          <w:rFonts w:eastAsia="Times New Roman" w:cs="Times New Roman"/>
          <w:b/>
          <w:bCs/>
          <w:sz w:val="22"/>
          <w:szCs w:val="22"/>
        </w:rPr>
        <w:t xml:space="preserve">Keywords: </w:t>
      </w:r>
      <w:r w:rsidRPr="007009B4">
        <w:rPr>
          <w:rFonts w:eastAsia="Times New Roman" w:cs="Times New Roman"/>
          <w:color w:val="000000"/>
          <w:sz w:val="22"/>
          <w:szCs w:val="22"/>
        </w:rPr>
        <w:t>markerless motion capture; gait mat; spatiotemporal parameters; gait analysis; deep learning.</w:t>
      </w:r>
      <w:r>
        <w:rPr>
          <w:rFonts w:eastAsia="Times New Roman" w:cs="Times New Roman"/>
          <w:b/>
          <w:bCs/>
          <w:color w:val="000000"/>
          <w:sz w:val="22"/>
          <w:szCs w:val="22"/>
        </w:rPr>
        <w:br w:type="page"/>
      </w:r>
    </w:p>
    <w:p w:rsidR="00497799" w:rsidRPr="007009B4" w:rsidRDefault="00497799" w:rsidP="00497799">
      <w:pPr>
        <w:spacing w:line="360" w:lineRule="auto"/>
        <w:rPr>
          <w:rFonts w:eastAsia="Times New Roman" w:cs="Times New Roman"/>
          <w:color w:val="000000"/>
        </w:rPr>
      </w:pPr>
      <w:r w:rsidRPr="007009B4">
        <w:rPr>
          <w:rFonts w:eastAsia="Times New Roman" w:cs="Times New Roman"/>
          <w:b/>
          <w:bCs/>
          <w:color w:val="000000"/>
          <w:sz w:val="22"/>
          <w:szCs w:val="22"/>
        </w:rPr>
        <w:lastRenderedPageBreak/>
        <w:t>1. Introduction</w:t>
      </w:r>
    </w:p>
    <w:p w:rsidR="00497799" w:rsidRPr="007009B4" w:rsidRDefault="00497799" w:rsidP="00497799">
      <w:pPr>
        <w:spacing w:line="360" w:lineRule="auto"/>
        <w:ind w:firstLine="720"/>
        <w:rPr>
          <w:rFonts w:eastAsia="Times New Roman" w:cs="Times New Roman"/>
          <w:color w:val="000000"/>
        </w:rPr>
      </w:pPr>
      <w:r w:rsidRPr="007009B4">
        <w:rPr>
          <w:rFonts w:eastAsia="Times New Roman" w:cs="Times New Roman"/>
          <w:color w:val="000000"/>
          <w:sz w:val="22"/>
          <w:szCs w:val="22"/>
        </w:rPr>
        <w:t xml:space="preserve">Gait analysis is a useful tool for assessing and comparing human movement patterns to gain insight into a variety of health-related factors. Spatiotemporal gait parameters are one form of data obtained through gait analysis that have been shown to be useful clinical measures that can detect ‘negative’ changes in individuals’ gait patterns due to pathology </w:t>
      </w:r>
      <w:hyperlink r:id="rId6" w:history="1">
        <w:r w:rsidRPr="007009B4">
          <w:rPr>
            <w:rFonts w:eastAsia="Times New Roman" w:cs="Times New Roman"/>
            <w:color w:val="000000"/>
            <w:sz w:val="22"/>
            <w:szCs w:val="22"/>
          </w:rPr>
          <w:t xml:space="preserve">(Elbaz et al., 2014; </w:t>
        </w:r>
        <w:proofErr w:type="spellStart"/>
        <w:r w:rsidRPr="007009B4">
          <w:rPr>
            <w:rFonts w:eastAsia="Times New Roman" w:cs="Times New Roman"/>
            <w:color w:val="000000"/>
            <w:sz w:val="22"/>
            <w:szCs w:val="22"/>
          </w:rPr>
          <w:t>Givon</w:t>
        </w:r>
        <w:proofErr w:type="spellEnd"/>
        <w:r w:rsidRPr="007009B4">
          <w:rPr>
            <w:rFonts w:eastAsia="Times New Roman" w:cs="Times New Roman"/>
            <w:color w:val="000000"/>
            <w:sz w:val="22"/>
            <w:szCs w:val="22"/>
          </w:rPr>
          <w:t xml:space="preserve"> et al., 2009; Lemke et al., 2000; Morris et al., 2001)</w:t>
        </w:r>
      </w:hyperlink>
      <w:r w:rsidRPr="007009B4">
        <w:rPr>
          <w:rFonts w:eastAsia="Times New Roman" w:cs="Times New Roman"/>
          <w:color w:val="000000"/>
          <w:sz w:val="22"/>
          <w:szCs w:val="22"/>
        </w:rPr>
        <w:t xml:space="preserve"> or aging </w:t>
      </w:r>
      <w:hyperlink r:id="rId7" w:history="1">
        <w:r w:rsidRPr="007009B4">
          <w:rPr>
            <w:rFonts w:eastAsia="Times New Roman" w:cs="Times New Roman"/>
            <w:color w:val="000000"/>
            <w:sz w:val="22"/>
            <w:szCs w:val="22"/>
          </w:rPr>
          <w:t>(Hollman et al., 2011)</w:t>
        </w:r>
      </w:hyperlink>
      <w:r w:rsidRPr="007009B4">
        <w:rPr>
          <w:rFonts w:eastAsia="Times New Roman" w:cs="Times New Roman"/>
          <w:color w:val="000000"/>
          <w:sz w:val="22"/>
          <w:szCs w:val="22"/>
        </w:rPr>
        <w:t xml:space="preserve">, and ‘positive’ changes due to rehabilitation </w:t>
      </w:r>
      <w:hyperlink r:id="rId8" w:history="1">
        <w:r w:rsidRPr="007009B4">
          <w:rPr>
            <w:rFonts w:eastAsia="Times New Roman" w:cs="Times New Roman"/>
            <w:color w:val="000000"/>
            <w:sz w:val="22"/>
            <w:szCs w:val="22"/>
          </w:rPr>
          <w:t>(Fung et al., 2006; Patterson et al., 2008)</w:t>
        </w:r>
      </w:hyperlink>
      <w:r w:rsidRPr="007009B4">
        <w:rPr>
          <w:rFonts w:eastAsia="Times New Roman" w:cs="Times New Roman"/>
          <w:color w:val="000000"/>
          <w:sz w:val="22"/>
          <w:szCs w:val="22"/>
        </w:rPr>
        <w:t xml:space="preserve"> or locomotor training </w:t>
      </w:r>
      <w:hyperlink r:id="rId9" w:history="1">
        <w:r w:rsidRPr="007009B4">
          <w:rPr>
            <w:rFonts w:eastAsia="Times New Roman" w:cs="Times New Roman"/>
            <w:color w:val="000000"/>
            <w:sz w:val="22"/>
            <w:szCs w:val="22"/>
          </w:rPr>
          <w:t>(Abd El-</w:t>
        </w:r>
        <w:proofErr w:type="spellStart"/>
        <w:r w:rsidRPr="007009B4">
          <w:rPr>
            <w:rFonts w:eastAsia="Times New Roman" w:cs="Times New Roman"/>
            <w:color w:val="000000"/>
            <w:sz w:val="22"/>
            <w:szCs w:val="22"/>
          </w:rPr>
          <w:t>Kafy</w:t>
        </w:r>
        <w:proofErr w:type="spellEnd"/>
        <w:r w:rsidRPr="007009B4">
          <w:rPr>
            <w:rFonts w:eastAsia="Times New Roman" w:cs="Times New Roman"/>
            <w:color w:val="000000"/>
            <w:sz w:val="22"/>
            <w:szCs w:val="22"/>
          </w:rPr>
          <w:t xml:space="preserve"> and El-</w:t>
        </w:r>
        <w:proofErr w:type="spellStart"/>
        <w:r w:rsidRPr="007009B4">
          <w:rPr>
            <w:rFonts w:eastAsia="Times New Roman" w:cs="Times New Roman"/>
            <w:color w:val="000000"/>
            <w:sz w:val="22"/>
            <w:szCs w:val="22"/>
          </w:rPr>
          <w:t>Basatiny</w:t>
        </w:r>
        <w:proofErr w:type="spellEnd"/>
        <w:r w:rsidRPr="007009B4">
          <w:rPr>
            <w:rFonts w:eastAsia="Times New Roman" w:cs="Times New Roman"/>
            <w:color w:val="000000"/>
            <w:sz w:val="22"/>
            <w:szCs w:val="22"/>
          </w:rPr>
          <w:t xml:space="preserve">, 2014; </w:t>
        </w:r>
        <w:proofErr w:type="spellStart"/>
        <w:r w:rsidRPr="007009B4">
          <w:rPr>
            <w:rFonts w:eastAsia="Times New Roman" w:cs="Times New Roman"/>
            <w:color w:val="000000"/>
            <w:sz w:val="22"/>
            <w:szCs w:val="22"/>
          </w:rPr>
          <w:t>Smania</w:t>
        </w:r>
        <w:proofErr w:type="spellEnd"/>
        <w:r w:rsidRPr="007009B4">
          <w:rPr>
            <w:rFonts w:eastAsia="Times New Roman" w:cs="Times New Roman"/>
            <w:color w:val="000000"/>
            <w:sz w:val="22"/>
            <w:szCs w:val="22"/>
          </w:rPr>
          <w:t xml:space="preserve"> et al., 2011; Vitale et al., 2012)</w:t>
        </w:r>
      </w:hyperlink>
      <w:r w:rsidRPr="007009B4">
        <w:rPr>
          <w:rFonts w:eastAsia="Times New Roman" w:cs="Times New Roman"/>
          <w:color w:val="000000"/>
          <w:sz w:val="22"/>
          <w:szCs w:val="22"/>
        </w:rPr>
        <w:t xml:space="preserve">. They have been implemented to study the gait patterns of children </w:t>
      </w:r>
      <w:hyperlink r:id="rId10" w:history="1">
        <w:r w:rsidRPr="007009B4">
          <w:rPr>
            <w:rFonts w:eastAsia="Times New Roman" w:cs="Times New Roman"/>
            <w:color w:val="000000"/>
            <w:sz w:val="22"/>
            <w:szCs w:val="22"/>
          </w:rPr>
          <w:t>(Alderson et al., 2019)</w:t>
        </w:r>
      </w:hyperlink>
      <w:r w:rsidRPr="007009B4">
        <w:rPr>
          <w:rFonts w:eastAsia="Times New Roman" w:cs="Times New Roman"/>
          <w:color w:val="000000"/>
          <w:sz w:val="22"/>
          <w:szCs w:val="22"/>
        </w:rPr>
        <w:t xml:space="preserve">, older adults </w:t>
      </w:r>
      <w:hyperlink r:id="rId11" w:history="1">
        <w:r w:rsidRPr="007009B4">
          <w:rPr>
            <w:rFonts w:eastAsia="Times New Roman" w:cs="Times New Roman"/>
            <w:color w:val="000000"/>
            <w:sz w:val="22"/>
            <w:szCs w:val="22"/>
          </w:rPr>
          <w:t>(</w:t>
        </w:r>
        <w:proofErr w:type="spellStart"/>
        <w:r w:rsidRPr="007009B4">
          <w:rPr>
            <w:rFonts w:eastAsia="Times New Roman" w:cs="Times New Roman"/>
            <w:color w:val="000000"/>
            <w:sz w:val="22"/>
            <w:szCs w:val="22"/>
          </w:rPr>
          <w:t>Vallabhajosula</w:t>
        </w:r>
        <w:proofErr w:type="spellEnd"/>
        <w:r w:rsidRPr="007009B4">
          <w:rPr>
            <w:rFonts w:eastAsia="Times New Roman" w:cs="Times New Roman"/>
            <w:color w:val="000000"/>
            <w:sz w:val="22"/>
            <w:szCs w:val="22"/>
          </w:rPr>
          <w:t xml:space="preserve"> et al., 2019)</w:t>
        </w:r>
      </w:hyperlink>
      <w:r w:rsidRPr="007009B4">
        <w:rPr>
          <w:rFonts w:eastAsia="Times New Roman" w:cs="Times New Roman"/>
          <w:color w:val="000000"/>
          <w:sz w:val="22"/>
          <w:szCs w:val="22"/>
        </w:rPr>
        <w:t xml:space="preserve">, individuals with Parkinson’s disease </w:t>
      </w:r>
      <w:hyperlink r:id="rId12" w:history="1">
        <w:r w:rsidRPr="007009B4">
          <w:rPr>
            <w:rFonts w:eastAsia="Times New Roman" w:cs="Times New Roman"/>
            <w:color w:val="000000"/>
            <w:sz w:val="22"/>
            <w:szCs w:val="22"/>
          </w:rPr>
          <w:t>(Mondal et al., 2019)</w:t>
        </w:r>
      </w:hyperlink>
      <w:r w:rsidRPr="007009B4">
        <w:rPr>
          <w:rFonts w:eastAsia="Times New Roman" w:cs="Times New Roman"/>
          <w:color w:val="000000"/>
          <w:sz w:val="22"/>
          <w:szCs w:val="22"/>
        </w:rPr>
        <w:t xml:space="preserve">, dementia </w:t>
      </w:r>
      <w:hyperlink r:id="rId13" w:history="1">
        <w:r w:rsidRPr="007009B4">
          <w:rPr>
            <w:rFonts w:eastAsia="Times New Roman" w:cs="Times New Roman"/>
            <w:color w:val="000000"/>
            <w:sz w:val="22"/>
            <w:szCs w:val="22"/>
          </w:rPr>
          <w:t>(</w:t>
        </w:r>
        <w:proofErr w:type="spellStart"/>
        <w:r w:rsidRPr="007009B4">
          <w:rPr>
            <w:rFonts w:eastAsia="Times New Roman" w:cs="Times New Roman"/>
            <w:color w:val="000000"/>
            <w:sz w:val="22"/>
            <w:szCs w:val="22"/>
          </w:rPr>
          <w:t>Darweesh</w:t>
        </w:r>
        <w:proofErr w:type="spellEnd"/>
        <w:r w:rsidRPr="007009B4">
          <w:rPr>
            <w:rFonts w:eastAsia="Times New Roman" w:cs="Times New Roman"/>
            <w:color w:val="000000"/>
            <w:sz w:val="22"/>
            <w:szCs w:val="22"/>
          </w:rPr>
          <w:t xml:space="preserve"> et al., 2019)</w:t>
        </w:r>
      </w:hyperlink>
      <w:r w:rsidRPr="007009B4">
        <w:rPr>
          <w:rFonts w:eastAsia="Times New Roman" w:cs="Times New Roman"/>
          <w:color w:val="000000"/>
          <w:sz w:val="22"/>
          <w:szCs w:val="22"/>
        </w:rPr>
        <w:t xml:space="preserve">, multiple sclerosis </w:t>
      </w:r>
      <w:hyperlink r:id="rId14" w:history="1">
        <w:r w:rsidRPr="007009B4">
          <w:rPr>
            <w:rFonts w:eastAsia="Times New Roman" w:cs="Times New Roman"/>
            <w:color w:val="000000"/>
            <w:sz w:val="22"/>
            <w:szCs w:val="22"/>
          </w:rPr>
          <w:t>(Novotna et al., 2019)</w:t>
        </w:r>
      </w:hyperlink>
      <w:r w:rsidRPr="007009B4">
        <w:rPr>
          <w:rFonts w:eastAsia="Times New Roman" w:cs="Times New Roman"/>
          <w:color w:val="000000"/>
          <w:sz w:val="22"/>
          <w:szCs w:val="22"/>
        </w:rPr>
        <w:t xml:space="preserve">, and post-stroke patients </w:t>
      </w:r>
      <w:hyperlink r:id="rId15" w:history="1">
        <w:r w:rsidRPr="007009B4">
          <w:rPr>
            <w:rFonts w:eastAsia="Times New Roman" w:cs="Times New Roman"/>
            <w:color w:val="000000"/>
            <w:sz w:val="22"/>
            <w:szCs w:val="22"/>
          </w:rPr>
          <w:t>(Cleland et al., 2019)</w:t>
        </w:r>
      </w:hyperlink>
      <w:r w:rsidRPr="007009B4">
        <w:rPr>
          <w:rFonts w:eastAsia="Times New Roman" w:cs="Times New Roman"/>
          <w:color w:val="000000"/>
          <w:sz w:val="22"/>
          <w:szCs w:val="22"/>
        </w:rPr>
        <w:t xml:space="preserve"> as a few examples. However, it is crucial that they are obtained using objective techniques to ensure adequate accuracy and repeatability </w:t>
      </w:r>
      <w:hyperlink r:id="rId16" w:history="1">
        <w:r w:rsidRPr="007009B4">
          <w:rPr>
            <w:rFonts w:eastAsia="Times New Roman" w:cs="Times New Roman"/>
            <w:color w:val="000000"/>
            <w:sz w:val="22"/>
            <w:szCs w:val="22"/>
          </w:rPr>
          <w:t>(Toro et al., 2003)</w:t>
        </w:r>
      </w:hyperlink>
      <w:r w:rsidRPr="007009B4">
        <w:rPr>
          <w:rFonts w:eastAsia="Times New Roman" w:cs="Times New Roman"/>
          <w:color w:val="000000"/>
          <w:sz w:val="22"/>
          <w:szCs w:val="22"/>
        </w:rPr>
        <w:t>. </w:t>
      </w:r>
    </w:p>
    <w:p w:rsidR="00497799" w:rsidRPr="007009B4" w:rsidRDefault="00497799" w:rsidP="00497799">
      <w:pPr>
        <w:spacing w:line="360" w:lineRule="auto"/>
        <w:ind w:firstLine="720"/>
        <w:rPr>
          <w:rFonts w:eastAsia="Times New Roman" w:cs="Times New Roman"/>
          <w:color w:val="000000"/>
        </w:rPr>
      </w:pPr>
      <w:r w:rsidRPr="007009B4">
        <w:rPr>
          <w:rFonts w:eastAsia="Times New Roman" w:cs="Times New Roman"/>
          <w:color w:val="000000"/>
          <w:sz w:val="22"/>
          <w:szCs w:val="22"/>
        </w:rPr>
        <w:t>Two of the most common technologies used to measure spatiotemporal gait parameters are marker-based motion capture and pressure-sensitive gait mats; however, both of these technologies have limitations that reduce their potential uses. Marker-based motion capture systems are expensive, require experienced operators, and are largely limited to in-laboratory data collections. Pressure-sensitive gait mats are less expensive and simpler to operate, but they require subjects to walk on their surface, reducing the potential environments in which they can be used and the data that can be collected.</w:t>
      </w:r>
    </w:p>
    <w:p w:rsidR="00497799" w:rsidRPr="007009B4" w:rsidRDefault="00497799" w:rsidP="00497799">
      <w:pPr>
        <w:spacing w:line="360" w:lineRule="auto"/>
        <w:ind w:firstLine="720"/>
        <w:rPr>
          <w:rFonts w:eastAsia="Times New Roman" w:cs="Times New Roman"/>
          <w:color w:val="000000"/>
        </w:rPr>
      </w:pPr>
      <w:r w:rsidRPr="007009B4">
        <w:rPr>
          <w:rFonts w:eastAsia="Times New Roman" w:cs="Times New Roman"/>
          <w:color w:val="000000"/>
          <w:sz w:val="22"/>
          <w:szCs w:val="22"/>
        </w:rPr>
        <w:t xml:space="preserve">Automated two-dimensional (2D) video-based markerless motion capture is an emerging technology that has the potential to measure spatiotemporal parameters without many of the limitations of marker-based motion capture or pressure-sensitive gait mats. </w:t>
      </w:r>
      <w:r w:rsidRPr="007009B4">
        <w:rPr>
          <w:rFonts w:eastAsia="Times New Roman" w:cs="Times New Roman"/>
          <w:i/>
          <w:iCs/>
          <w:color w:val="000000"/>
          <w:sz w:val="22"/>
          <w:szCs w:val="22"/>
        </w:rPr>
        <w:t>Theia3D</w:t>
      </w:r>
      <w:r w:rsidRPr="007009B4">
        <w:rPr>
          <w:rFonts w:eastAsia="Times New Roman" w:cs="Times New Roman"/>
          <w:color w:val="000000"/>
          <w:sz w:val="22"/>
          <w:szCs w:val="22"/>
        </w:rPr>
        <w:t xml:space="preserve"> (Theia Markerless Inc., Kingston, ON) is one such markerless motion capture software, which uses synchronized video data and deep learning techniques to estimate three-dimensional (3D) human pose, enabling it to measure spatiotemporal gait parameters without the need for skin-mounted markers, a laboratory environment, or a specific walking surface.</w:t>
      </w:r>
    </w:p>
    <w:p w:rsidR="00497799" w:rsidRPr="007009B4" w:rsidRDefault="00497799" w:rsidP="00497799">
      <w:pPr>
        <w:spacing w:line="360" w:lineRule="auto"/>
        <w:ind w:firstLine="720"/>
        <w:rPr>
          <w:rFonts w:eastAsia="Times New Roman" w:cs="Times New Roman"/>
          <w:color w:val="000000"/>
        </w:rPr>
      </w:pPr>
      <w:r w:rsidRPr="007009B4">
        <w:rPr>
          <w:rFonts w:eastAsia="Times New Roman" w:cs="Times New Roman"/>
          <w:color w:val="000000"/>
          <w:sz w:val="22"/>
          <w:szCs w:val="22"/>
        </w:rPr>
        <w:t>The aim of this work was to determine the validity of spatiotemporal gait parameter measurements obtained using markerless motion capture. This was achieved through the completion of two studies: a concurrent comparison of spatiotemporal gait parameters from marker-based and markerless motion capture during treadmill walking, and a concurrent comparison of spatiotemporal gait parameters from a pressure-sensitive gait mat and markerless motion capture during over-ground walking.</w:t>
      </w:r>
    </w:p>
    <w:p w:rsidR="00497799" w:rsidRPr="007009B4" w:rsidRDefault="00497799" w:rsidP="00497799">
      <w:pPr>
        <w:spacing w:line="360" w:lineRule="auto"/>
        <w:rPr>
          <w:rFonts w:eastAsia="Times New Roman" w:cs="Times New Roman"/>
          <w:color w:val="000000"/>
        </w:rPr>
      </w:pPr>
      <w:r w:rsidRPr="007009B4">
        <w:rPr>
          <w:rFonts w:eastAsia="Times New Roman" w:cs="Times New Roman"/>
          <w:color w:val="000000"/>
          <w:sz w:val="22"/>
          <w:szCs w:val="22"/>
        </w:rPr>
        <w:t> </w:t>
      </w:r>
    </w:p>
    <w:p w:rsidR="00497799" w:rsidRPr="007009B4" w:rsidRDefault="00497799" w:rsidP="00497799">
      <w:pPr>
        <w:spacing w:line="360" w:lineRule="auto"/>
        <w:rPr>
          <w:rFonts w:eastAsia="Times New Roman" w:cs="Times New Roman"/>
          <w:color w:val="000000"/>
        </w:rPr>
      </w:pPr>
      <w:r w:rsidRPr="007009B4">
        <w:rPr>
          <w:rFonts w:eastAsia="Times New Roman" w:cs="Times New Roman"/>
          <w:b/>
          <w:bCs/>
          <w:color w:val="000000"/>
          <w:sz w:val="22"/>
          <w:szCs w:val="22"/>
        </w:rPr>
        <w:t>2. Methods</w:t>
      </w:r>
    </w:p>
    <w:p w:rsidR="00497799" w:rsidRPr="007009B4" w:rsidRDefault="00497799" w:rsidP="00497799">
      <w:pPr>
        <w:spacing w:line="360" w:lineRule="auto"/>
        <w:rPr>
          <w:rFonts w:eastAsia="Times New Roman" w:cs="Times New Roman"/>
          <w:color w:val="000000"/>
        </w:rPr>
      </w:pPr>
      <w:r w:rsidRPr="007009B4">
        <w:rPr>
          <w:rFonts w:eastAsia="Times New Roman" w:cs="Times New Roman"/>
          <w:i/>
          <w:iCs/>
          <w:color w:val="000000"/>
          <w:sz w:val="22"/>
          <w:szCs w:val="22"/>
        </w:rPr>
        <w:t>2.1 Markerless Motion Capture</w:t>
      </w:r>
    </w:p>
    <w:p w:rsidR="00497799" w:rsidRPr="007009B4" w:rsidRDefault="00497799" w:rsidP="00497799">
      <w:pPr>
        <w:spacing w:line="360" w:lineRule="auto"/>
        <w:rPr>
          <w:rFonts w:eastAsia="Times New Roman" w:cs="Times New Roman"/>
          <w:color w:val="000000"/>
        </w:rPr>
      </w:pPr>
      <w:r w:rsidRPr="007009B4">
        <w:rPr>
          <w:rFonts w:eastAsia="Times New Roman" w:cs="Times New Roman"/>
          <w:i/>
          <w:iCs/>
          <w:color w:val="000000"/>
          <w:sz w:val="22"/>
          <w:szCs w:val="22"/>
        </w:rPr>
        <w:lastRenderedPageBreak/>
        <w:tab/>
        <w:t xml:space="preserve">Theia3D </w:t>
      </w:r>
      <w:r w:rsidRPr="007009B4">
        <w:rPr>
          <w:rFonts w:eastAsia="Times New Roman" w:cs="Times New Roman"/>
          <w:color w:val="000000"/>
          <w:sz w:val="22"/>
          <w:szCs w:val="22"/>
        </w:rPr>
        <w:t xml:space="preserve">(Theia Markerless Inc., Kingston, ON, Canada) is a deep learning algorithm-based approach to markerless motion capture which uses deep convolutional neural networks for feature recognition (humans and human features) within 2D camera views </w:t>
      </w:r>
      <w:hyperlink r:id="rId17" w:history="1">
        <w:r w:rsidRPr="007009B4">
          <w:rPr>
            <w:rFonts w:eastAsia="Times New Roman" w:cs="Times New Roman"/>
            <w:color w:val="000000"/>
            <w:sz w:val="22"/>
            <w:szCs w:val="22"/>
          </w:rPr>
          <w:t>(Kanko et al., 2020a, 2020b; Mathis and Mathis, 2020)</w:t>
        </w:r>
      </w:hyperlink>
      <w:r w:rsidRPr="007009B4">
        <w:rPr>
          <w:rFonts w:eastAsia="Times New Roman" w:cs="Times New Roman"/>
          <w:color w:val="000000"/>
          <w:sz w:val="22"/>
          <w:szCs w:val="22"/>
        </w:rPr>
        <w:t>. The neural networks were trained on digital images of over 500,000 humans in the wild. In the version used for this study, 51 salient features consisting of a variety of joint locations and other identifiable surface features in the images were manually labelled by highly trained annotators and controlled for quality by a minimum of one additional expert labeller. These training images consisted of humans in a wide array of settings, clothing, and performing various activities. Deconvolutional layers are used to produce spatial probability densities for each image, representing the likelihood that an anatomical feature is in a particular location. For a given image, the network assigns high probabilities to labeled anatomical feature locations and low probabilities elsewhere. The learning that occurs during training enables the application of “rules” for identifying the learned features within a new image.</w:t>
      </w:r>
    </w:p>
    <w:p w:rsidR="00497799" w:rsidRPr="007009B4" w:rsidRDefault="00497799" w:rsidP="00497799">
      <w:pPr>
        <w:spacing w:line="360" w:lineRule="auto"/>
        <w:ind w:firstLine="720"/>
        <w:rPr>
          <w:rFonts w:eastAsia="Times New Roman" w:cs="Times New Roman"/>
          <w:color w:val="000000"/>
        </w:rPr>
      </w:pPr>
      <w:r w:rsidRPr="007009B4">
        <w:rPr>
          <w:rFonts w:eastAsia="Times New Roman" w:cs="Times New Roman"/>
          <w:color w:val="000000"/>
          <w:sz w:val="22"/>
          <w:szCs w:val="22"/>
        </w:rPr>
        <w:t xml:space="preserve">When using this markerless motion capture software, the user provides newly collected video data from multiple synchronized and calibrated video cameras that capture one or more subjects performing a physical task. The time required to collect data is largely dependent on the task of interest but can take less than five minutes for the collection of ten walking trials, for example. Two-dimensional positions of the learned features are estimated within all frames of all of the videos, which are then transformed to 3D space based on the intrinsic and extrinsic parameters of the cameras. Finally, an articulated multi-body model is scaled to fit the subject-specific landmarks positions in 3D space, and a multi-body optimization approach (inverse kinematic (IK)) is used to estimate the 3D pose of the subject throughout the physical task. By default, the lower body kinematic chain has six degrees-of-freedom (DOF) at the pelvis, and three DOF at the hip, knee, and ankle. This markerless system has been shown to measure gait kinematics similarly to marker-based systems, and with greater reliability over multiple sessions </w:t>
      </w:r>
      <w:hyperlink r:id="rId18" w:history="1">
        <w:r w:rsidRPr="007009B4">
          <w:rPr>
            <w:rFonts w:eastAsia="Times New Roman" w:cs="Times New Roman"/>
            <w:color w:val="000000"/>
            <w:sz w:val="22"/>
            <w:szCs w:val="22"/>
          </w:rPr>
          <w:t>(Kanko et al., 2020a, 2020b)</w:t>
        </w:r>
      </w:hyperlink>
      <w:r w:rsidRPr="007009B4">
        <w:rPr>
          <w:rFonts w:eastAsia="Times New Roman" w:cs="Times New Roman"/>
          <w:color w:val="000000"/>
          <w:sz w:val="22"/>
          <w:szCs w:val="22"/>
        </w:rPr>
        <w:t>.</w:t>
      </w:r>
    </w:p>
    <w:p w:rsidR="00497799" w:rsidRPr="007009B4" w:rsidRDefault="00497799" w:rsidP="00497799">
      <w:pPr>
        <w:spacing w:line="360" w:lineRule="auto"/>
        <w:rPr>
          <w:rFonts w:eastAsia="Times New Roman" w:cs="Times New Roman"/>
          <w:color w:val="000000"/>
        </w:rPr>
      </w:pPr>
      <w:r w:rsidRPr="007009B4">
        <w:rPr>
          <w:rFonts w:eastAsia="Times New Roman" w:cs="Times New Roman"/>
          <w:color w:val="000000"/>
          <w:sz w:val="22"/>
          <w:szCs w:val="22"/>
        </w:rPr>
        <w:t> </w:t>
      </w:r>
    </w:p>
    <w:p w:rsidR="00497799" w:rsidRPr="007009B4" w:rsidRDefault="00497799" w:rsidP="00497799">
      <w:pPr>
        <w:spacing w:line="360" w:lineRule="auto"/>
        <w:rPr>
          <w:rFonts w:eastAsia="Times New Roman" w:cs="Times New Roman"/>
          <w:color w:val="000000"/>
        </w:rPr>
      </w:pPr>
      <w:r w:rsidRPr="007009B4">
        <w:rPr>
          <w:rFonts w:eastAsia="Times New Roman" w:cs="Times New Roman"/>
          <w:i/>
          <w:iCs/>
          <w:color w:val="000000"/>
          <w:sz w:val="22"/>
          <w:szCs w:val="22"/>
        </w:rPr>
        <w:t>2.2 Participants</w:t>
      </w:r>
    </w:p>
    <w:p w:rsidR="00497799" w:rsidRDefault="00497799" w:rsidP="00497799">
      <w:pPr>
        <w:spacing w:line="360" w:lineRule="auto"/>
        <w:rPr>
          <w:rFonts w:eastAsia="Times New Roman" w:cs="Times New Roman"/>
          <w:color w:val="000000"/>
          <w:sz w:val="22"/>
          <w:szCs w:val="22"/>
        </w:rPr>
      </w:pPr>
      <w:r w:rsidRPr="007009B4">
        <w:rPr>
          <w:rFonts w:eastAsia="Times New Roman" w:cs="Times New Roman"/>
          <w:i/>
          <w:iCs/>
          <w:color w:val="000000"/>
          <w:sz w:val="22"/>
          <w:szCs w:val="22"/>
        </w:rPr>
        <w:tab/>
      </w:r>
      <w:r w:rsidRPr="007009B4">
        <w:rPr>
          <w:rFonts w:eastAsia="Times New Roman" w:cs="Times New Roman"/>
          <w:color w:val="000000"/>
          <w:sz w:val="22"/>
          <w:szCs w:val="22"/>
        </w:rPr>
        <w:t>A convenience sample of healthy, recreationally active adults were recruited to participate in both studies at the Human Mobility Research Laboratory (Kingston, ON). Subject sample characteristics are summarized in Table 1. Participants gave written informed consent and both studies were approved by the institutional ethics committee. Exclusion criteria included having any neuromuscular or musculoskeletal impairments that could affect their performance of walking.</w:t>
      </w:r>
    </w:p>
    <w:p w:rsidR="00D67630" w:rsidRDefault="00D67630">
      <w:pPr>
        <w:rPr>
          <w:rFonts w:eastAsia="Times New Roman" w:cs="Times New Roman"/>
          <w:color w:val="000000"/>
          <w:sz w:val="22"/>
          <w:szCs w:val="22"/>
        </w:rPr>
      </w:pPr>
      <w:r>
        <w:rPr>
          <w:rFonts w:eastAsia="Times New Roman" w:cs="Times New Roman"/>
          <w:color w:val="000000"/>
          <w:sz w:val="22"/>
          <w:szCs w:val="22"/>
        </w:rPr>
        <w:br w:type="page"/>
      </w:r>
    </w:p>
    <w:p w:rsidR="00D67630" w:rsidRPr="00D67630" w:rsidRDefault="00D67630" w:rsidP="00D67630">
      <w:pPr>
        <w:spacing w:after="120" w:line="276" w:lineRule="auto"/>
        <w:rPr>
          <w:rFonts w:eastAsia="Times New Roman" w:cs="Times New Roman"/>
          <w:color w:val="000000"/>
          <w:sz w:val="20"/>
          <w:szCs w:val="20"/>
        </w:rPr>
      </w:pPr>
      <w:r w:rsidRPr="00D67630">
        <w:rPr>
          <w:rFonts w:eastAsia="Times New Roman" w:cs="Times New Roman"/>
          <w:b/>
          <w:bCs/>
          <w:color w:val="000000"/>
          <w:sz w:val="20"/>
          <w:szCs w:val="20"/>
        </w:rPr>
        <w:lastRenderedPageBreak/>
        <w:t>Table 1:</w:t>
      </w:r>
      <w:r w:rsidRPr="00D67630">
        <w:rPr>
          <w:rFonts w:eastAsia="Times New Roman" w:cs="Times New Roman"/>
          <w:color w:val="000000"/>
          <w:sz w:val="20"/>
          <w:szCs w:val="20"/>
        </w:rPr>
        <w:t xml:space="preserve"> Subject sample characteristics for the motion capture and pressure-sensitive gait mat comparison studies.</w:t>
      </w:r>
    </w:p>
    <w:tbl>
      <w:tblPr>
        <w:tblStyle w:val="ListTable3"/>
        <w:tblW w:w="0" w:type="auto"/>
        <w:tblCellMar>
          <w:top w:w="57" w:type="dxa"/>
          <w:bottom w:w="57" w:type="dxa"/>
        </w:tblCellMar>
        <w:tblLook w:val="04A0" w:firstRow="1" w:lastRow="0" w:firstColumn="1" w:lastColumn="0" w:noHBand="0" w:noVBand="1"/>
      </w:tblPr>
      <w:tblGrid>
        <w:gridCol w:w="1696"/>
        <w:gridCol w:w="2127"/>
        <w:gridCol w:w="1842"/>
        <w:gridCol w:w="2127"/>
      </w:tblGrid>
      <w:tr w:rsidR="00D67630" w:rsidRPr="00E159B4" w:rsidTr="00D5316A">
        <w:trPr>
          <w:cnfStyle w:val="100000000000" w:firstRow="1" w:lastRow="0" w:firstColumn="0" w:lastColumn="0" w:oddVBand="0" w:evenVBand="0" w:oddHBand="0" w:evenHBand="0" w:firstRowFirstColumn="0" w:firstRowLastColumn="0" w:lastRowFirstColumn="0" w:lastRowLastColumn="0"/>
          <w:trHeight w:val="586"/>
        </w:trPr>
        <w:tc>
          <w:tcPr>
            <w:cnfStyle w:val="001000000100" w:firstRow="0" w:lastRow="0" w:firstColumn="1" w:lastColumn="0" w:oddVBand="0" w:evenVBand="0" w:oddHBand="0" w:evenHBand="0" w:firstRowFirstColumn="1" w:firstRowLastColumn="0" w:lastRowFirstColumn="0" w:lastRowLastColumn="0"/>
            <w:tcW w:w="1696" w:type="dxa"/>
            <w:shd w:val="clear" w:color="auto" w:fill="D9D9D9" w:themeFill="background1" w:themeFillShade="D9"/>
            <w:vAlign w:val="center"/>
            <w:hideMark/>
          </w:tcPr>
          <w:p w:rsidR="00D67630" w:rsidRPr="00E159B4" w:rsidRDefault="00D67630" w:rsidP="00D5316A">
            <w:pPr>
              <w:spacing w:line="276" w:lineRule="auto"/>
              <w:jc w:val="center"/>
              <w:rPr>
                <w:rFonts w:eastAsia="Times New Roman" w:cs="Times New Roman"/>
                <w:color w:val="000000" w:themeColor="text1"/>
                <w:sz w:val="22"/>
                <w:szCs w:val="22"/>
              </w:rPr>
            </w:pPr>
          </w:p>
        </w:tc>
        <w:tc>
          <w:tcPr>
            <w:tcW w:w="2127" w:type="dxa"/>
            <w:shd w:val="clear" w:color="auto" w:fill="D9D9D9" w:themeFill="background1" w:themeFillShade="D9"/>
            <w:vAlign w:val="center"/>
            <w:hideMark/>
          </w:tcPr>
          <w:p w:rsidR="00D67630" w:rsidRPr="00E159B4" w:rsidRDefault="00D67630" w:rsidP="00D5316A">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sz w:val="22"/>
                <w:szCs w:val="22"/>
              </w:rPr>
            </w:pPr>
            <w:r>
              <w:rPr>
                <w:rFonts w:eastAsia="Times New Roman" w:cs="Times New Roman"/>
                <w:color w:val="000000" w:themeColor="text1"/>
                <w:sz w:val="22"/>
                <w:szCs w:val="22"/>
              </w:rPr>
              <w:t>Motion Capture Comparison</w:t>
            </w:r>
          </w:p>
        </w:tc>
        <w:tc>
          <w:tcPr>
            <w:tcW w:w="1842" w:type="dxa"/>
            <w:shd w:val="clear" w:color="auto" w:fill="D9D9D9" w:themeFill="background1" w:themeFillShade="D9"/>
            <w:vAlign w:val="center"/>
          </w:tcPr>
          <w:p w:rsidR="00D67630" w:rsidRPr="00E159B4" w:rsidRDefault="00D67630" w:rsidP="00D5316A">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sz w:val="22"/>
                <w:szCs w:val="22"/>
              </w:rPr>
            </w:pPr>
            <w:r>
              <w:rPr>
                <w:rFonts w:eastAsia="Times New Roman" w:cs="Times New Roman"/>
                <w:color w:val="000000" w:themeColor="text1"/>
                <w:sz w:val="22"/>
                <w:szCs w:val="22"/>
              </w:rPr>
              <w:t>Gait Mat Comparison</w:t>
            </w:r>
          </w:p>
        </w:tc>
        <w:tc>
          <w:tcPr>
            <w:tcW w:w="2127" w:type="dxa"/>
            <w:shd w:val="clear" w:color="auto" w:fill="D9D9D9" w:themeFill="background1" w:themeFillShade="D9"/>
            <w:vAlign w:val="center"/>
          </w:tcPr>
          <w:p w:rsidR="00D67630" w:rsidRPr="00E159B4" w:rsidRDefault="00D67630" w:rsidP="00D5316A">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sz w:val="22"/>
                <w:szCs w:val="22"/>
              </w:rPr>
            </w:pPr>
            <w:r>
              <w:rPr>
                <w:rFonts w:eastAsia="Times New Roman" w:cs="Times New Roman"/>
                <w:color w:val="000000" w:themeColor="text1"/>
                <w:sz w:val="22"/>
                <w:szCs w:val="22"/>
              </w:rPr>
              <w:t>Combined</w:t>
            </w:r>
          </w:p>
        </w:tc>
      </w:tr>
      <w:tr w:rsidR="00D67630" w:rsidRPr="00E159B4" w:rsidTr="00D53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Align w:val="center"/>
            <w:hideMark/>
          </w:tcPr>
          <w:p w:rsidR="00D67630" w:rsidRPr="00E159B4" w:rsidRDefault="00D67630" w:rsidP="00D5316A">
            <w:pPr>
              <w:spacing w:line="276" w:lineRule="auto"/>
              <w:jc w:val="center"/>
              <w:rPr>
                <w:rFonts w:eastAsia="Times New Roman" w:cs="Times New Roman"/>
                <w:b w:val="0"/>
                <w:bCs w:val="0"/>
                <w:sz w:val="22"/>
                <w:szCs w:val="22"/>
              </w:rPr>
            </w:pPr>
            <w:r>
              <w:rPr>
                <w:rFonts w:eastAsia="Times New Roman" w:cs="Times New Roman"/>
                <w:b w:val="0"/>
                <w:bCs w:val="0"/>
                <w:color w:val="000000"/>
                <w:sz w:val="22"/>
                <w:szCs w:val="22"/>
              </w:rPr>
              <w:t>N (female/male)</w:t>
            </w:r>
          </w:p>
        </w:tc>
        <w:tc>
          <w:tcPr>
            <w:tcW w:w="2127" w:type="dxa"/>
            <w:vAlign w:val="center"/>
            <w:hideMark/>
          </w:tcPr>
          <w:p w:rsidR="00D67630" w:rsidRPr="00E159B4" w:rsidRDefault="00D67630" w:rsidP="00D5316A">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2"/>
                <w:szCs w:val="22"/>
              </w:rPr>
            </w:pPr>
            <w:r>
              <w:rPr>
                <w:rFonts w:eastAsia="Times New Roman" w:cs="Times New Roman"/>
                <w:sz w:val="22"/>
                <w:szCs w:val="22"/>
              </w:rPr>
              <w:t>30 (15/15)</w:t>
            </w:r>
          </w:p>
        </w:tc>
        <w:tc>
          <w:tcPr>
            <w:tcW w:w="1842" w:type="dxa"/>
            <w:vAlign w:val="center"/>
          </w:tcPr>
          <w:p w:rsidR="00D67630" w:rsidRPr="00E159B4" w:rsidRDefault="00D67630" w:rsidP="00D5316A">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2"/>
                <w:szCs w:val="22"/>
              </w:rPr>
            </w:pPr>
            <w:r>
              <w:rPr>
                <w:rFonts w:eastAsia="Times New Roman" w:cs="Times New Roman"/>
                <w:sz w:val="22"/>
                <w:szCs w:val="22"/>
              </w:rPr>
              <w:t>25 (10/15)</w:t>
            </w:r>
          </w:p>
        </w:tc>
        <w:tc>
          <w:tcPr>
            <w:tcW w:w="2127" w:type="dxa"/>
            <w:vAlign w:val="center"/>
          </w:tcPr>
          <w:p w:rsidR="00D67630" w:rsidRPr="00E159B4" w:rsidRDefault="00D67630" w:rsidP="00D5316A">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2"/>
                <w:szCs w:val="22"/>
              </w:rPr>
            </w:pPr>
            <w:r>
              <w:rPr>
                <w:rFonts w:eastAsia="Times New Roman" w:cs="Times New Roman"/>
                <w:sz w:val="22"/>
                <w:szCs w:val="22"/>
              </w:rPr>
              <w:t>55 (25/30)</w:t>
            </w:r>
          </w:p>
        </w:tc>
      </w:tr>
      <w:tr w:rsidR="00D67630" w:rsidRPr="00E159B4" w:rsidTr="00D5316A">
        <w:tc>
          <w:tcPr>
            <w:cnfStyle w:val="001000000000" w:firstRow="0" w:lastRow="0" w:firstColumn="1" w:lastColumn="0" w:oddVBand="0" w:evenVBand="0" w:oddHBand="0" w:evenHBand="0" w:firstRowFirstColumn="0" w:firstRowLastColumn="0" w:lastRowFirstColumn="0" w:lastRowLastColumn="0"/>
            <w:tcW w:w="1696" w:type="dxa"/>
            <w:vAlign w:val="center"/>
            <w:hideMark/>
          </w:tcPr>
          <w:p w:rsidR="00D67630" w:rsidRDefault="00D67630" w:rsidP="00D5316A">
            <w:pPr>
              <w:spacing w:line="276" w:lineRule="auto"/>
              <w:jc w:val="center"/>
              <w:rPr>
                <w:rFonts w:eastAsia="Times New Roman" w:cs="Times New Roman"/>
                <w:color w:val="000000"/>
                <w:sz w:val="22"/>
                <w:szCs w:val="22"/>
              </w:rPr>
            </w:pPr>
            <w:r>
              <w:rPr>
                <w:rFonts w:eastAsia="Times New Roman" w:cs="Times New Roman"/>
                <w:b w:val="0"/>
                <w:bCs w:val="0"/>
                <w:color w:val="000000"/>
                <w:sz w:val="22"/>
                <w:szCs w:val="22"/>
              </w:rPr>
              <w:t>Age [years],</w:t>
            </w:r>
          </w:p>
          <w:p w:rsidR="00D67630" w:rsidRPr="00E159B4" w:rsidRDefault="00D67630" w:rsidP="00D5316A">
            <w:pPr>
              <w:spacing w:line="276" w:lineRule="auto"/>
              <w:jc w:val="center"/>
              <w:rPr>
                <w:rFonts w:eastAsia="Times New Roman" w:cs="Times New Roman"/>
                <w:b w:val="0"/>
                <w:bCs w:val="0"/>
                <w:sz w:val="22"/>
                <w:szCs w:val="22"/>
              </w:rPr>
            </w:pPr>
            <w:r>
              <w:rPr>
                <w:rFonts w:eastAsia="Times New Roman" w:cs="Times New Roman"/>
                <w:b w:val="0"/>
                <w:bCs w:val="0"/>
                <w:color w:val="000000"/>
                <w:sz w:val="22"/>
                <w:szCs w:val="22"/>
              </w:rPr>
              <w:t>mean (SD)</w:t>
            </w:r>
          </w:p>
        </w:tc>
        <w:tc>
          <w:tcPr>
            <w:tcW w:w="2127" w:type="dxa"/>
            <w:vAlign w:val="center"/>
            <w:hideMark/>
          </w:tcPr>
          <w:p w:rsidR="00D67630" w:rsidRPr="00E159B4" w:rsidRDefault="00D67630" w:rsidP="00D5316A">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Pr>
                <w:rFonts w:eastAsia="Times New Roman" w:cs="Times New Roman"/>
                <w:sz w:val="22"/>
                <w:szCs w:val="22"/>
              </w:rPr>
              <w:t>23.0 (3.5)</w:t>
            </w:r>
          </w:p>
        </w:tc>
        <w:tc>
          <w:tcPr>
            <w:tcW w:w="1842" w:type="dxa"/>
            <w:vAlign w:val="center"/>
          </w:tcPr>
          <w:p w:rsidR="00D67630" w:rsidRPr="00E159B4" w:rsidRDefault="00D67630" w:rsidP="00D5316A">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Pr>
                <w:rFonts w:eastAsia="Times New Roman" w:cs="Times New Roman"/>
                <w:sz w:val="22"/>
                <w:szCs w:val="22"/>
              </w:rPr>
              <w:t>28.0 (9.6)</w:t>
            </w:r>
          </w:p>
        </w:tc>
        <w:tc>
          <w:tcPr>
            <w:tcW w:w="2127" w:type="dxa"/>
            <w:vAlign w:val="center"/>
          </w:tcPr>
          <w:p w:rsidR="00D67630" w:rsidRPr="00E159B4" w:rsidRDefault="00D67630" w:rsidP="00D5316A">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Pr>
                <w:rFonts w:eastAsia="Times New Roman" w:cs="Times New Roman"/>
                <w:sz w:val="22"/>
                <w:szCs w:val="22"/>
              </w:rPr>
              <w:t>25.2 (7.4)</w:t>
            </w:r>
          </w:p>
        </w:tc>
      </w:tr>
      <w:tr w:rsidR="00D67630" w:rsidRPr="00E159B4" w:rsidTr="00D53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Align w:val="center"/>
          </w:tcPr>
          <w:p w:rsidR="00D67630" w:rsidRDefault="00D67630" w:rsidP="00D5316A">
            <w:pPr>
              <w:spacing w:line="276" w:lineRule="auto"/>
              <w:jc w:val="center"/>
              <w:rPr>
                <w:rFonts w:eastAsia="Times New Roman" w:cs="Times New Roman"/>
                <w:color w:val="000000"/>
                <w:sz w:val="22"/>
                <w:szCs w:val="22"/>
              </w:rPr>
            </w:pPr>
            <w:r>
              <w:rPr>
                <w:rFonts w:eastAsia="Times New Roman" w:cs="Times New Roman"/>
                <w:b w:val="0"/>
                <w:bCs w:val="0"/>
                <w:color w:val="000000"/>
                <w:sz w:val="22"/>
                <w:szCs w:val="22"/>
              </w:rPr>
              <w:t>Height [cm],</w:t>
            </w:r>
          </w:p>
          <w:p w:rsidR="00D67630" w:rsidRPr="00E159B4" w:rsidRDefault="00D67630" w:rsidP="00D5316A">
            <w:pPr>
              <w:spacing w:line="276" w:lineRule="auto"/>
              <w:jc w:val="center"/>
              <w:rPr>
                <w:rFonts w:eastAsia="Times New Roman" w:cs="Times New Roman"/>
                <w:b w:val="0"/>
                <w:bCs w:val="0"/>
                <w:sz w:val="22"/>
                <w:szCs w:val="22"/>
              </w:rPr>
            </w:pPr>
            <w:r>
              <w:rPr>
                <w:rFonts w:eastAsia="Times New Roman" w:cs="Times New Roman"/>
                <w:b w:val="0"/>
                <w:bCs w:val="0"/>
                <w:sz w:val="22"/>
                <w:szCs w:val="22"/>
              </w:rPr>
              <w:t>mean (SD)</w:t>
            </w:r>
          </w:p>
        </w:tc>
        <w:tc>
          <w:tcPr>
            <w:tcW w:w="2127" w:type="dxa"/>
            <w:vAlign w:val="center"/>
          </w:tcPr>
          <w:p w:rsidR="00D67630" w:rsidRPr="00E159B4" w:rsidRDefault="00D67630" w:rsidP="00D5316A">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2"/>
                <w:szCs w:val="22"/>
              </w:rPr>
            </w:pPr>
            <w:r>
              <w:rPr>
                <w:rFonts w:eastAsia="Times New Roman" w:cs="Times New Roman"/>
                <w:sz w:val="22"/>
                <w:szCs w:val="22"/>
              </w:rPr>
              <w:t>176.0 (8.6)</w:t>
            </w:r>
          </w:p>
        </w:tc>
        <w:tc>
          <w:tcPr>
            <w:tcW w:w="1842" w:type="dxa"/>
            <w:vAlign w:val="center"/>
          </w:tcPr>
          <w:p w:rsidR="00D67630" w:rsidRPr="00E159B4" w:rsidRDefault="00D67630" w:rsidP="00D5316A">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2"/>
                <w:szCs w:val="22"/>
              </w:rPr>
            </w:pPr>
            <w:r>
              <w:rPr>
                <w:rFonts w:eastAsia="Times New Roman" w:cs="Times New Roman"/>
                <w:sz w:val="22"/>
                <w:szCs w:val="22"/>
              </w:rPr>
              <w:t>173.8 (7.6)</w:t>
            </w:r>
          </w:p>
        </w:tc>
        <w:tc>
          <w:tcPr>
            <w:tcW w:w="2127" w:type="dxa"/>
            <w:vAlign w:val="center"/>
          </w:tcPr>
          <w:p w:rsidR="00D67630" w:rsidRPr="00E159B4" w:rsidRDefault="00D67630" w:rsidP="00D5316A">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2"/>
                <w:szCs w:val="22"/>
              </w:rPr>
            </w:pPr>
            <w:r>
              <w:rPr>
                <w:rFonts w:eastAsia="Times New Roman" w:cs="Times New Roman"/>
                <w:sz w:val="22"/>
                <w:szCs w:val="22"/>
              </w:rPr>
              <w:t>174.5 (8.3)</w:t>
            </w:r>
          </w:p>
        </w:tc>
      </w:tr>
      <w:tr w:rsidR="00D67630" w:rsidRPr="00E159B4" w:rsidTr="00D5316A">
        <w:tc>
          <w:tcPr>
            <w:cnfStyle w:val="001000000000" w:firstRow="0" w:lastRow="0" w:firstColumn="1" w:lastColumn="0" w:oddVBand="0" w:evenVBand="0" w:oddHBand="0" w:evenHBand="0" w:firstRowFirstColumn="0" w:firstRowLastColumn="0" w:lastRowFirstColumn="0" w:lastRowLastColumn="0"/>
            <w:tcW w:w="1696" w:type="dxa"/>
            <w:vAlign w:val="center"/>
          </w:tcPr>
          <w:p w:rsidR="00D67630" w:rsidRDefault="00D67630" w:rsidP="00D5316A">
            <w:pPr>
              <w:spacing w:line="276" w:lineRule="auto"/>
              <w:jc w:val="center"/>
              <w:rPr>
                <w:rFonts w:eastAsia="Times New Roman" w:cs="Times New Roman"/>
                <w:color w:val="000000"/>
                <w:sz w:val="22"/>
                <w:szCs w:val="22"/>
              </w:rPr>
            </w:pPr>
            <w:r>
              <w:rPr>
                <w:rFonts w:eastAsia="Times New Roman" w:cs="Times New Roman"/>
                <w:b w:val="0"/>
                <w:bCs w:val="0"/>
                <w:color w:val="000000"/>
                <w:sz w:val="22"/>
                <w:szCs w:val="22"/>
              </w:rPr>
              <w:t>Mass [kg],</w:t>
            </w:r>
          </w:p>
          <w:p w:rsidR="00D67630" w:rsidRPr="00E159B4" w:rsidRDefault="00D67630" w:rsidP="00D5316A">
            <w:pPr>
              <w:spacing w:line="276" w:lineRule="auto"/>
              <w:jc w:val="center"/>
              <w:rPr>
                <w:rFonts w:eastAsia="Times New Roman" w:cs="Times New Roman"/>
                <w:b w:val="0"/>
                <w:bCs w:val="0"/>
                <w:sz w:val="22"/>
                <w:szCs w:val="22"/>
              </w:rPr>
            </w:pPr>
            <w:r>
              <w:rPr>
                <w:rFonts w:eastAsia="Times New Roman" w:cs="Times New Roman"/>
                <w:b w:val="0"/>
                <w:bCs w:val="0"/>
                <w:color w:val="000000"/>
                <w:sz w:val="22"/>
                <w:szCs w:val="22"/>
              </w:rPr>
              <w:t>mean (SD)</w:t>
            </w:r>
          </w:p>
        </w:tc>
        <w:tc>
          <w:tcPr>
            <w:tcW w:w="2127" w:type="dxa"/>
            <w:vAlign w:val="center"/>
          </w:tcPr>
          <w:p w:rsidR="00D67630" w:rsidRPr="00E159B4" w:rsidRDefault="00D67630" w:rsidP="00D5316A">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Pr>
                <w:rFonts w:eastAsia="Times New Roman" w:cs="Times New Roman"/>
                <w:sz w:val="22"/>
                <w:szCs w:val="22"/>
              </w:rPr>
              <w:t>69.2 (11.4)</w:t>
            </w:r>
          </w:p>
        </w:tc>
        <w:tc>
          <w:tcPr>
            <w:tcW w:w="1842" w:type="dxa"/>
            <w:vAlign w:val="center"/>
          </w:tcPr>
          <w:p w:rsidR="00D67630" w:rsidRPr="00E159B4" w:rsidRDefault="00D67630" w:rsidP="00D5316A">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Pr>
                <w:rFonts w:eastAsia="Times New Roman" w:cs="Times New Roman"/>
                <w:sz w:val="22"/>
                <w:szCs w:val="22"/>
              </w:rPr>
              <w:t>67.9 (13.5)</w:t>
            </w:r>
          </w:p>
        </w:tc>
        <w:tc>
          <w:tcPr>
            <w:tcW w:w="2127" w:type="dxa"/>
            <w:vAlign w:val="center"/>
          </w:tcPr>
          <w:p w:rsidR="00D67630" w:rsidRPr="00E159B4" w:rsidRDefault="00D67630" w:rsidP="00D5316A">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Pr>
                <w:rFonts w:eastAsia="Times New Roman" w:cs="Times New Roman"/>
                <w:sz w:val="22"/>
                <w:szCs w:val="22"/>
              </w:rPr>
              <w:t>68.6 (12.3)</w:t>
            </w:r>
          </w:p>
        </w:tc>
      </w:tr>
    </w:tbl>
    <w:p w:rsidR="00497799" w:rsidRPr="007009B4" w:rsidRDefault="00497799" w:rsidP="00497799">
      <w:pPr>
        <w:spacing w:line="360" w:lineRule="auto"/>
        <w:rPr>
          <w:rFonts w:eastAsia="Times New Roman" w:cs="Times New Roman"/>
          <w:color w:val="000000"/>
        </w:rPr>
      </w:pPr>
    </w:p>
    <w:p w:rsidR="00497799" w:rsidRPr="007009B4" w:rsidRDefault="00497799" w:rsidP="00497799">
      <w:pPr>
        <w:spacing w:line="360" w:lineRule="auto"/>
        <w:rPr>
          <w:rFonts w:eastAsia="Times New Roman" w:cs="Times New Roman"/>
          <w:color w:val="000000"/>
        </w:rPr>
      </w:pPr>
      <w:r w:rsidRPr="007009B4">
        <w:rPr>
          <w:rFonts w:eastAsia="Times New Roman" w:cs="Times New Roman"/>
          <w:i/>
          <w:iCs/>
          <w:color w:val="000000"/>
          <w:sz w:val="22"/>
          <w:szCs w:val="22"/>
        </w:rPr>
        <w:t>2.3 Experimental Setup and Procedure</w:t>
      </w:r>
    </w:p>
    <w:p w:rsidR="00497799" w:rsidRPr="007009B4" w:rsidRDefault="00497799" w:rsidP="00497799">
      <w:pPr>
        <w:spacing w:line="360" w:lineRule="auto"/>
        <w:rPr>
          <w:rFonts w:eastAsia="Times New Roman" w:cs="Times New Roman"/>
          <w:color w:val="000000"/>
        </w:rPr>
      </w:pPr>
      <w:r w:rsidRPr="007009B4">
        <w:rPr>
          <w:rFonts w:eastAsia="Times New Roman" w:cs="Times New Roman"/>
          <w:i/>
          <w:iCs/>
          <w:color w:val="000000"/>
          <w:sz w:val="22"/>
          <w:szCs w:val="22"/>
        </w:rPr>
        <w:t>2.3.1 Motion Capture Comparison</w:t>
      </w:r>
    </w:p>
    <w:p w:rsidR="00497799" w:rsidRPr="007009B4" w:rsidRDefault="00497799" w:rsidP="00497799">
      <w:pPr>
        <w:spacing w:line="360" w:lineRule="auto"/>
        <w:ind w:firstLine="720"/>
        <w:rPr>
          <w:rFonts w:eastAsia="Times New Roman" w:cs="Times New Roman"/>
          <w:color w:val="000000"/>
        </w:rPr>
      </w:pPr>
      <w:r w:rsidRPr="007009B4">
        <w:rPr>
          <w:rFonts w:eastAsia="Times New Roman" w:cs="Times New Roman"/>
          <w:color w:val="000000"/>
          <w:sz w:val="22"/>
          <w:szCs w:val="22"/>
        </w:rPr>
        <w:t xml:space="preserve">Two camera systems, consisting of seven Qualisys 3+ cameras (Qualisys AB, Gothenburg, Sweden) which recorded marker trajectories and eight Qualisys </w:t>
      </w:r>
      <w:proofErr w:type="spellStart"/>
      <w:r w:rsidRPr="007009B4">
        <w:rPr>
          <w:rFonts w:eastAsia="Times New Roman" w:cs="Times New Roman"/>
          <w:color w:val="000000"/>
          <w:sz w:val="22"/>
          <w:szCs w:val="22"/>
        </w:rPr>
        <w:t>Miqus</w:t>
      </w:r>
      <w:proofErr w:type="spellEnd"/>
      <w:r w:rsidRPr="007009B4">
        <w:rPr>
          <w:rFonts w:eastAsia="Times New Roman" w:cs="Times New Roman"/>
          <w:color w:val="000000"/>
          <w:sz w:val="22"/>
          <w:szCs w:val="22"/>
        </w:rPr>
        <w:t xml:space="preserve"> cameras which recorded 2D videos were positioned around an instrumented treadmill (Tandem Force-Sensing Treadmill, AMTI Inc., MA). Both systems were connected to a single instance of Qualisys Track Manager (QTM) to ensure their temporal synchronization and to allow them to be calibrated simultaneously, resulting in a single shared global coordinate system. Both systems recorded at 85 Hz.</w:t>
      </w:r>
    </w:p>
    <w:p w:rsidR="00497799" w:rsidRPr="007009B4" w:rsidRDefault="00497799" w:rsidP="00497799">
      <w:pPr>
        <w:spacing w:line="360" w:lineRule="auto"/>
        <w:ind w:firstLine="720"/>
        <w:rPr>
          <w:rFonts w:eastAsia="Times New Roman" w:cs="Times New Roman"/>
          <w:color w:val="000000"/>
        </w:rPr>
      </w:pPr>
      <w:r w:rsidRPr="007009B4">
        <w:rPr>
          <w:rFonts w:eastAsia="Times New Roman" w:cs="Times New Roman"/>
          <w:color w:val="000000"/>
          <w:sz w:val="22"/>
          <w:szCs w:val="22"/>
        </w:rPr>
        <w:t>Participants wore minimal, skin-tight clothing and their personal athletic shoes. Retroreflective markers were affixed bilaterally on the first, fifth, and between the second and third metatarsal heads, on the calcaneus, malleoli, tibial tuberosity, femoral epicondyles, anterior superior and posterior superior iliac spines, lateral iliac crest, suprasternal notch, C7 vertebrae, superior acromion, lateral humeral head, humeral epicondyles, radial and ulnar styloid processes, and the third metacarpus. Rigid tracking clusters (4 markers/cluster) were affixed to the shanks, thighs, and lower back, and a headband with five markers was worn.</w:t>
      </w:r>
    </w:p>
    <w:p w:rsidR="00497799" w:rsidRPr="007009B4" w:rsidRDefault="00497799" w:rsidP="00497799">
      <w:pPr>
        <w:spacing w:line="360" w:lineRule="auto"/>
        <w:ind w:firstLine="720"/>
        <w:rPr>
          <w:rFonts w:eastAsia="Times New Roman" w:cs="Times New Roman"/>
          <w:color w:val="000000"/>
        </w:rPr>
      </w:pPr>
      <w:r w:rsidRPr="007009B4">
        <w:rPr>
          <w:rFonts w:eastAsia="Times New Roman" w:cs="Times New Roman"/>
          <w:color w:val="000000"/>
          <w:sz w:val="22"/>
          <w:szCs w:val="22"/>
        </w:rPr>
        <w:t>A static calibration trial for the marker-based motion capture data was collected with the subject standing on the treadmill; no static trial is required for the markerless system. Starting at an initial speed of 1.2 m/s, participants determined a comfortable self-selected walking speed by providing feedback to researchers. Participants acclimatized to the treadmill for two minutes before ten consecutive trials of four seconds were collected simultaneously using both camera systems.</w:t>
      </w:r>
    </w:p>
    <w:p w:rsidR="00497799" w:rsidRPr="007009B4" w:rsidRDefault="00497799" w:rsidP="00497799">
      <w:pPr>
        <w:spacing w:line="360" w:lineRule="auto"/>
        <w:rPr>
          <w:rFonts w:eastAsia="Times New Roman" w:cs="Times New Roman"/>
          <w:color w:val="000000"/>
        </w:rPr>
      </w:pPr>
    </w:p>
    <w:p w:rsidR="00D67630" w:rsidRDefault="00D67630" w:rsidP="00497799">
      <w:pPr>
        <w:spacing w:line="360" w:lineRule="auto"/>
        <w:rPr>
          <w:rFonts w:eastAsia="Times New Roman" w:cs="Times New Roman"/>
          <w:i/>
          <w:iCs/>
          <w:color w:val="000000"/>
          <w:sz w:val="22"/>
          <w:szCs w:val="22"/>
        </w:rPr>
      </w:pPr>
    </w:p>
    <w:p w:rsidR="00D67630" w:rsidRDefault="00D67630" w:rsidP="00497799">
      <w:pPr>
        <w:spacing w:line="360" w:lineRule="auto"/>
        <w:rPr>
          <w:rFonts w:eastAsia="Times New Roman" w:cs="Times New Roman"/>
          <w:i/>
          <w:iCs/>
          <w:color w:val="000000"/>
          <w:sz w:val="22"/>
          <w:szCs w:val="22"/>
        </w:rPr>
      </w:pPr>
    </w:p>
    <w:p w:rsidR="00497799" w:rsidRPr="007009B4" w:rsidRDefault="00497799" w:rsidP="00497799">
      <w:pPr>
        <w:spacing w:line="360" w:lineRule="auto"/>
        <w:rPr>
          <w:rFonts w:eastAsia="Times New Roman" w:cs="Times New Roman"/>
          <w:color w:val="000000"/>
        </w:rPr>
      </w:pPr>
      <w:r w:rsidRPr="007009B4">
        <w:rPr>
          <w:rFonts w:eastAsia="Times New Roman" w:cs="Times New Roman"/>
          <w:i/>
          <w:iCs/>
          <w:color w:val="000000"/>
          <w:sz w:val="22"/>
          <w:szCs w:val="22"/>
        </w:rPr>
        <w:lastRenderedPageBreak/>
        <w:t>2.3.2 Pressure-Sensitive Gait Mat Comparison</w:t>
      </w:r>
    </w:p>
    <w:p w:rsidR="00497799" w:rsidRPr="007009B4" w:rsidRDefault="00497799" w:rsidP="00497799">
      <w:pPr>
        <w:spacing w:line="360" w:lineRule="auto"/>
        <w:rPr>
          <w:rFonts w:eastAsia="Times New Roman" w:cs="Times New Roman"/>
          <w:color w:val="000000"/>
        </w:rPr>
      </w:pPr>
      <w:r w:rsidRPr="007009B4">
        <w:rPr>
          <w:rFonts w:eastAsia="Times New Roman" w:cs="Times New Roman"/>
          <w:color w:val="000000"/>
          <w:sz w:val="22"/>
          <w:szCs w:val="22"/>
        </w:rPr>
        <w:tab/>
        <w:t xml:space="preserve">A </w:t>
      </w:r>
      <w:proofErr w:type="spellStart"/>
      <w:r w:rsidRPr="007009B4">
        <w:rPr>
          <w:rFonts w:eastAsia="Times New Roman" w:cs="Times New Roman"/>
          <w:color w:val="000000"/>
          <w:sz w:val="22"/>
          <w:szCs w:val="22"/>
        </w:rPr>
        <w:t>GAITRite</w:t>
      </w:r>
      <w:proofErr w:type="spellEnd"/>
      <w:r w:rsidRPr="007009B4">
        <w:rPr>
          <w:rFonts w:eastAsia="Times New Roman" w:cs="Times New Roman"/>
          <w:color w:val="000000"/>
          <w:sz w:val="22"/>
          <w:szCs w:val="22"/>
        </w:rPr>
        <w:t xml:space="preserve"> mat (CIR Systems, Inc., Franklin, NJ) was positioned centrally within a large laboratory space, around which eight Sony RX0 II cameras (Sony Corporation, Minato, Japan) were arranged and synchronized using a Sony Camera Control Box. Red tape lines were placed on the ground ten meters apart as walkway start/finish lines, and the mat was positioned centrally between the lines. Subjects wore their own clothing and shoes and performed six over-ground walking trials between the start/finish lines at their comfortable walking speed, alternating direction for each trial. Synchronized 2D video data and foot-ground contact positions and times were recorded during each trial, with both systems recording at 60 Hz. Foot placements that did not occur entirely within the pressure-sensitive region of the mat were not recorded.</w:t>
      </w:r>
    </w:p>
    <w:p w:rsidR="00497799" w:rsidRPr="007009B4" w:rsidRDefault="00497799" w:rsidP="00497799">
      <w:pPr>
        <w:spacing w:line="360" w:lineRule="auto"/>
        <w:rPr>
          <w:rFonts w:eastAsia="Times New Roman" w:cs="Times New Roman"/>
          <w:color w:val="000000"/>
        </w:rPr>
      </w:pPr>
    </w:p>
    <w:p w:rsidR="00497799" w:rsidRPr="007009B4" w:rsidRDefault="00497799" w:rsidP="00497799">
      <w:pPr>
        <w:spacing w:line="360" w:lineRule="auto"/>
        <w:rPr>
          <w:rFonts w:eastAsia="Times New Roman" w:cs="Times New Roman"/>
          <w:color w:val="000000"/>
        </w:rPr>
      </w:pPr>
      <w:r w:rsidRPr="007009B4">
        <w:rPr>
          <w:rFonts w:eastAsia="Times New Roman" w:cs="Times New Roman"/>
          <w:i/>
          <w:iCs/>
          <w:color w:val="000000"/>
          <w:sz w:val="22"/>
          <w:szCs w:val="22"/>
        </w:rPr>
        <w:t>2.5 Data Analysis</w:t>
      </w:r>
    </w:p>
    <w:p w:rsidR="00497799" w:rsidRPr="007009B4" w:rsidRDefault="00497799" w:rsidP="00497799">
      <w:pPr>
        <w:spacing w:line="360" w:lineRule="auto"/>
        <w:rPr>
          <w:rFonts w:eastAsia="Times New Roman" w:cs="Times New Roman"/>
          <w:color w:val="000000"/>
        </w:rPr>
      </w:pPr>
      <w:r w:rsidRPr="007009B4">
        <w:rPr>
          <w:rFonts w:eastAsia="Times New Roman" w:cs="Times New Roman"/>
          <w:i/>
          <w:iCs/>
          <w:color w:val="000000"/>
          <w:sz w:val="22"/>
          <w:szCs w:val="22"/>
        </w:rPr>
        <w:t>2.5.1 Motion Capture Comparison</w:t>
      </w:r>
    </w:p>
    <w:p w:rsidR="00D67630" w:rsidRDefault="00497799" w:rsidP="00497799">
      <w:pPr>
        <w:spacing w:line="360" w:lineRule="auto"/>
        <w:rPr>
          <w:rFonts w:eastAsia="Times New Roman" w:cs="Times New Roman"/>
          <w:color w:val="000000"/>
          <w:sz w:val="22"/>
          <w:szCs w:val="22"/>
        </w:rPr>
      </w:pPr>
      <w:r w:rsidRPr="007009B4">
        <w:rPr>
          <w:rFonts w:eastAsia="Times New Roman" w:cs="Times New Roman"/>
          <w:color w:val="000000"/>
          <w:sz w:val="22"/>
          <w:szCs w:val="22"/>
        </w:rPr>
        <w:tab/>
        <w:t xml:space="preserve">Marker-based motion capture data were tracked in QTM, video data were processed using </w:t>
      </w:r>
      <w:r w:rsidRPr="007009B4">
        <w:rPr>
          <w:rFonts w:eastAsia="Times New Roman" w:cs="Times New Roman"/>
          <w:i/>
          <w:iCs/>
          <w:color w:val="000000"/>
          <w:sz w:val="22"/>
          <w:szCs w:val="22"/>
        </w:rPr>
        <w:t xml:space="preserve">Theia3D </w:t>
      </w:r>
      <w:r w:rsidRPr="007009B4">
        <w:rPr>
          <w:rFonts w:eastAsia="Times New Roman" w:cs="Times New Roman"/>
          <w:color w:val="000000"/>
          <w:sz w:val="22"/>
          <w:szCs w:val="22"/>
        </w:rPr>
        <w:t xml:space="preserve">(v2020.3.0.962), and both sets of processed data were exported for analysis in Visual3D (C-Motion Inc., Germantown, MD). Two skeletal models were generated in Visual3D: one which tracked the markerless motion capture data that was automatically created by Visual3D, and one which tracked the marker-based data that was manually defined and had identical joint constraints as those used in </w:t>
      </w:r>
      <w:r w:rsidRPr="007009B4">
        <w:rPr>
          <w:rFonts w:eastAsia="Times New Roman" w:cs="Times New Roman"/>
          <w:i/>
          <w:iCs/>
          <w:color w:val="000000"/>
          <w:sz w:val="22"/>
          <w:szCs w:val="22"/>
        </w:rPr>
        <w:t>Theia3D</w:t>
      </w:r>
      <w:r w:rsidRPr="007009B4">
        <w:rPr>
          <w:rFonts w:eastAsia="Times New Roman" w:cs="Times New Roman"/>
          <w:color w:val="000000"/>
          <w:sz w:val="22"/>
          <w:szCs w:val="22"/>
        </w:rPr>
        <w:t xml:space="preserve">. Kinematic gait events were created for the marker-based and markerless models independently, and were confirmed to represent the same gait events </w:t>
      </w:r>
      <w:hyperlink r:id="rId19" w:history="1">
        <w:r w:rsidRPr="007009B4">
          <w:rPr>
            <w:rFonts w:eastAsia="Times New Roman" w:cs="Times New Roman"/>
            <w:color w:val="000000"/>
            <w:sz w:val="22"/>
            <w:szCs w:val="22"/>
          </w:rPr>
          <w:t>(</w:t>
        </w:r>
        <w:proofErr w:type="spellStart"/>
        <w:r w:rsidRPr="007009B4">
          <w:rPr>
            <w:rFonts w:eastAsia="Times New Roman" w:cs="Times New Roman"/>
            <w:color w:val="000000"/>
            <w:sz w:val="22"/>
            <w:szCs w:val="22"/>
          </w:rPr>
          <w:t>Zeni</w:t>
        </w:r>
        <w:proofErr w:type="spellEnd"/>
        <w:r w:rsidRPr="007009B4">
          <w:rPr>
            <w:rFonts w:eastAsia="Times New Roman" w:cs="Times New Roman"/>
            <w:color w:val="000000"/>
            <w:sz w:val="22"/>
            <w:szCs w:val="22"/>
          </w:rPr>
          <w:t xml:space="preserve"> et al., 2008)</w:t>
        </w:r>
      </w:hyperlink>
      <w:r w:rsidRPr="007009B4">
        <w:rPr>
          <w:rFonts w:eastAsia="Times New Roman" w:cs="Times New Roman"/>
          <w:color w:val="000000"/>
          <w:sz w:val="22"/>
          <w:szCs w:val="22"/>
        </w:rPr>
        <w:t>. Step length, stride length, stride width, step time, cycle time, swing time, stance time, double limb support time, and trial-average gait speed were calculated from the marker-based and markerless models and exported for further analysis in MATLAB (The MathWorks Inc., Natick, MA) and SPSS (IBM, Armonk, NY). These parameters are defined in Table 2. Twenty measurements of step length, stride length, step time, cycle time, swing time, and stance time; ten measurements of stride width; and five trial-average measurements of double limb support time were randomly selected from those available and directly compared between systems for each subject.</w:t>
      </w:r>
    </w:p>
    <w:p w:rsidR="00D67630" w:rsidRDefault="00D67630">
      <w:pPr>
        <w:rPr>
          <w:rFonts w:eastAsia="Times New Roman" w:cs="Times New Roman"/>
          <w:b/>
          <w:bCs/>
          <w:color w:val="000000"/>
          <w:sz w:val="20"/>
          <w:szCs w:val="20"/>
        </w:rPr>
      </w:pPr>
      <w:r>
        <w:rPr>
          <w:rFonts w:eastAsia="Times New Roman" w:cs="Times New Roman"/>
          <w:b/>
          <w:bCs/>
          <w:color w:val="000000"/>
          <w:sz w:val="20"/>
          <w:szCs w:val="20"/>
        </w:rPr>
        <w:br w:type="page"/>
      </w:r>
    </w:p>
    <w:p w:rsidR="00D67630" w:rsidRPr="00D67630" w:rsidRDefault="00D67630" w:rsidP="00D67630">
      <w:pPr>
        <w:spacing w:after="120" w:line="276" w:lineRule="auto"/>
        <w:rPr>
          <w:rFonts w:eastAsia="Times New Roman" w:cs="Times New Roman"/>
          <w:color w:val="000000"/>
          <w:sz w:val="21"/>
          <w:szCs w:val="21"/>
        </w:rPr>
      </w:pPr>
      <w:r w:rsidRPr="00D67630">
        <w:rPr>
          <w:rFonts w:eastAsia="Times New Roman" w:cs="Times New Roman"/>
          <w:b/>
          <w:bCs/>
          <w:color w:val="000000"/>
          <w:sz w:val="20"/>
          <w:szCs w:val="20"/>
        </w:rPr>
        <w:lastRenderedPageBreak/>
        <w:t>Table 2:</w:t>
      </w:r>
      <w:r w:rsidRPr="00D67630">
        <w:rPr>
          <w:rFonts w:eastAsia="Times New Roman" w:cs="Times New Roman"/>
          <w:color w:val="000000"/>
          <w:sz w:val="20"/>
          <w:szCs w:val="20"/>
        </w:rPr>
        <w:t xml:space="preserve"> Descriptions of the included gait parameters.</w:t>
      </w:r>
    </w:p>
    <w:tbl>
      <w:tblPr>
        <w:tblStyle w:val="ListTable3"/>
        <w:tblW w:w="0" w:type="auto"/>
        <w:tblCellMar>
          <w:top w:w="113" w:type="dxa"/>
          <w:bottom w:w="113" w:type="dxa"/>
        </w:tblCellMar>
        <w:tblLook w:val="04A0" w:firstRow="1" w:lastRow="0" w:firstColumn="1" w:lastColumn="0" w:noHBand="0" w:noVBand="1"/>
      </w:tblPr>
      <w:tblGrid>
        <w:gridCol w:w="1696"/>
        <w:gridCol w:w="7654"/>
      </w:tblGrid>
      <w:tr w:rsidR="00D67630" w:rsidRPr="00E159B4" w:rsidTr="00D5316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696" w:type="dxa"/>
            <w:shd w:val="clear" w:color="auto" w:fill="D9D9D9" w:themeFill="background1" w:themeFillShade="D9"/>
            <w:hideMark/>
          </w:tcPr>
          <w:p w:rsidR="00D67630" w:rsidRPr="00E159B4" w:rsidRDefault="00D67630" w:rsidP="00D5316A">
            <w:pPr>
              <w:spacing w:line="276" w:lineRule="auto"/>
              <w:jc w:val="center"/>
              <w:rPr>
                <w:rFonts w:eastAsia="Times New Roman" w:cs="Times New Roman"/>
                <w:color w:val="000000" w:themeColor="text1"/>
                <w:sz w:val="22"/>
                <w:szCs w:val="22"/>
              </w:rPr>
            </w:pPr>
            <w:r w:rsidRPr="00E159B4">
              <w:rPr>
                <w:rFonts w:eastAsia="Times New Roman" w:cs="Times New Roman"/>
                <w:color w:val="000000" w:themeColor="text1"/>
                <w:sz w:val="22"/>
                <w:szCs w:val="22"/>
              </w:rPr>
              <w:t>Gait Parameter</w:t>
            </w:r>
          </w:p>
        </w:tc>
        <w:tc>
          <w:tcPr>
            <w:tcW w:w="7654" w:type="dxa"/>
            <w:shd w:val="clear" w:color="auto" w:fill="D9D9D9" w:themeFill="background1" w:themeFillShade="D9"/>
            <w:hideMark/>
          </w:tcPr>
          <w:p w:rsidR="00D67630" w:rsidRPr="00E159B4" w:rsidRDefault="00D67630" w:rsidP="00D5316A">
            <w:pPr>
              <w:spacing w:line="276" w:lineRule="auto"/>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sz w:val="22"/>
                <w:szCs w:val="22"/>
              </w:rPr>
            </w:pPr>
            <w:r w:rsidRPr="00E159B4">
              <w:rPr>
                <w:rFonts w:eastAsia="Times New Roman" w:cs="Times New Roman"/>
                <w:color w:val="000000" w:themeColor="text1"/>
                <w:sz w:val="22"/>
                <w:szCs w:val="22"/>
              </w:rPr>
              <w:t>Description</w:t>
            </w:r>
          </w:p>
        </w:tc>
      </w:tr>
      <w:tr w:rsidR="00D67630" w:rsidRPr="00E159B4" w:rsidTr="00D53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Align w:val="center"/>
            <w:hideMark/>
          </w:tcPr>
          <w:p w:rsidR="00D67630" w:rsidRPr="00E159B4" w:rsidRDefault="00D67630" w:rsidP="00D5316A">
            <w:pPr>
              <w:spacing w:line="276" w:lineRule="auto"/>
              <w:jc w:val="center"/>
              <w:rPr>
                <w:rFonts w:eastAsia="Times New Roman" w:cs="Times New Roman"/>
                <w:b w:val="0"/>
                <w:bCs w:val="0"/>
                <w:sz w:val="22"/>
                <w:szCs w:val="22"/>
              </w:rPr>
            </w:pPr>
            <w:r w:rsidRPr="00E159B4">
              <w:rPr>
                <w:rFonts w:eastAsia="Times New Roman" w:cs="Times New Roman"/>
                <w:b w:val="0"/>
                <w:bCs w:val="0"/>
                <w:color w:val="000000"/>
                <w:sz w:val="22"/>
                <w:szCs w:val="22"/>
              </w:rPr>
              <w:t>Gait Speed</w:t>
            </w:r>
          </w:p>
        </w:tc>
        <w:tc>
          <w:tcPr>
            <w:tcW w:w="7654" w:type="dxa"/>
            <w:hideMark/>
          </w:tcPr>
          <w:p w:rsidR="00D67630" w:rsidRPr="00E159B4" w:rsidRDefault="00D67630" w:rsidP="00D5316A">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2"/>
                <w:szCs w:val="22"/>
              </w:rPr>
            </w:pPr>
            <w:r w:rsidRPr="00E159B4">
              <w:rPr>
                <w:rFonts w:eastAsia="Times New Roman" w:cs="Times New Roman"/>
                <w:color w:val="000000"/>
                <w:sz w:val="22"/>
                <w:szCs w:val="22"/>
              </w:rPr>
              <w:t>Distance covered per second, calculated as the measured stride length divided by the measured stride time, reported in meters per second [m/s].</w:t>
            </w:r>
          </w:p>
        </w:tc>
      </w:tr>
      <w:tr w:rsidR="00D67630" w:rsidRPr="00E159B4" w:rsidTr="00D5316A">
        <w:tc>
          <w:tcPr>
            <w:cnfStyle w:val="001000000000" w:firstRow="0" w:lastRow="0" w:firstColumn="1" w:lastColumn="0" w:oddVBand="0" w:evenVBand="0" w:oddHBand="0" w:evenHBand="0" w:firstRowFirstColumn="0" w:firstRowLastColumn="0" w:lastRowFirstColumn="0" w:lastRowLastColumn="0"/>
            <w:tcW w:w="1696" w:type="dxa"/>
            <w:vAlign w:val="center"/>
            <w:hideMark/>
          </w:tcPr>
          <w:p w:rsidR="00D67630" w:rsidRPr="00E159B4" w:rsidRDefault="00D67630" w:rsidP="00D5316A">
            <w:pPr>
              <w:spacing w:line="276" w:lineRule="auto"/>
              <w:jc w:val="center"/>
              <w:rPr>
                <w:rFonts w:eastAsia="Times New Roman" w:cs="Times New Roman"/>
                <w:b w:val="0"/>
                <w:bCs w:val="0"/>
                <w:sz w:val="22"/>
                <w:szCs w:val="22"/>
              </w:rPr>
            </w:pPr>
            <w:r w:rsidRPr="00E159B4">
              <w:rPr>
                <w:rFonts w:eastAsia="Times New Roman" w:cs="Times New Roman"/>
                <w:b w:val="0"/>
                <w:bCs w:val="0"/>
                <w:color w:val="000000"/>
                <w:sz w:val="22"/>
                <w:szCs w:val="22"/>
              </w:rPr>
              <w:t>Step Length</w:t>
            </w:r>
          </w:p>
        </w:tc>
        <w:tc>
          <w:tcPr>
            <w:tcW w:w="7654" w:type="dxa"/>
            <w:hideMark/>
          </w:tcPr>
          <w:p w:rsidR="00D67630" w:rsidRPr="00E159B4" w:rsidRDefault="00D67630" w:rsidP="00D5316A">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E159B4">
              <w:rPr>
                <w:rFonts w:eastAsia="Times New Roman" w:cs="Times New Roman"/>
                <w:color w:val="000000"/>
                <w:sz w:val="22"/>
                <w:szCs w:val="22"/>
              </w:rPr>
              <w:t>Distance from the position of the proximal contralateral foot (ankle joint) at the previous contralateral heel-strike to the position of the proximal ipsilateral foot (ankle joint) at the ipsilateral heel-strike taken in the direction of progression, reported in centimeters [cm].</w:t>
            </w:r>
          </w:p>
        </w:tc>
      </w:tr>
      <w:tr w:rsidR="00D67630" w:rsidRPr="00E159B4" w:rsidTr="00D53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Align w:val="center"/>
          </w:tcPr>
          <w:p w:rsidR="00D67630" w:rsidRPr="00E159B4" w:rsidRDefault="00D67630" w:rsidP="00D5316A">
            <w:pPr>
              <w:spacing w:line="276" w:lineRule="auto"/>
              <w:jc w:val="center"/>
              <w:rPr>
                <w:rFonts w:eastAsia="Times New Roman" w:cs="Times New Roman"/>
                <w:b w:val="0"/>
                <w:bCs w:val="0"/>
                <w:sz w:val="22"/>
                <w:szCs w:val="22"/>
              </w:rPr>
            </w:pPr>
            <w:r w:rsidRPr="00E159B4">
              <w:rPr>
                <w:rFonts w:eastAsia="Times New Roman" w:cs="Times New Roman"/>
                <w:b w:val="0"/>
                <w:bCs w:val="0"/>
                <w:color w:val="000000"/>
                <w:sz w:val="22"/>
                <w:szCs w:val="22"/>
              </w:rPr>
              <w:t>Stride Length</w:t>
            </w:r>
          </w:p>
        </w:tc>
        <w:tc>
          <w:tcPr>
            <w:tcW w:w="7654" w:type="dxa"/>
          </w:tcPr>
          <w:p w:rsidR="00D67630" w:rsidRPr="00E159B4" w:rsidRDefault="00D67630" w:rsidP="00D5316A">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2"/>
                <w:szCs w:val="22"/>
              </w:rPr>
            </w:pPr>
            <w:r w:rsidRPr="00E159B4">
              <w:rPr>
                <w:rFonts w:eastAsia="Times New Roman" w:cs="Times New Roman"/>
                <w:color w:val="000000"/>
                <w:sz w:val="22"/>
                <w:szCs w:val="22"/>
              </w:rPr>
              <w:t>Distance from the position of the proximal ipsilateral foot (ankle joint) at ipsilateral heel-strike to the position of the proximal ipsilateral foot (ankle joint) at the successive ipsilateral heel-strike taken in the direction of progression, reported in centimeters [cm].</w:t>
            </w:r>
          </w:p>
        </w:tc>
      </w:tr>
      <w:tr w:rsidR="00D67630" w:rsidRPr="00E159B4" w:rsidTr="00D5316A">
        <w:tc>
          <w:tcPr>
            <w:cnfStyle w:val="001000000000" w:firstRow="0" w:lastRow="0" w:firstColumn="1" w:lastColumn="0" w:oddVBand="0" w:evenVBand="0" w:oddHBand="0" w:evenHBand="0" w:firstRowFirstColumn="0" w:firstRowLastColumn="0" w:lastRowFirstColumn="0" w:lastRowLastColumn="0"/>
            <w:tcW w:w="1696" w:type="dxa"/>
            <w:vAlign w:val="center"/>
          </w:tcPr>
          <w:p w:rsidR="00D67630" w:rsidRPr="00E159B4" w:rsidRDefault="00D67630" w:rsidP="00D5316A">
            <w:pPr>
              <w:spacing w:line="276" w:lineRule="auto"/>
              <w:jc w:val="center"/>
              <w:rPr>
                <w:rFonts w:eastAsia="Times New Roman" w:cs="Times New Roman"/>
                <w:b w:val="0"/>
                <w:bCs w:val="0"/>
                <w:sz w:val="22"/>
                <w:szCs w:val="22"/>
              </w:rPr>
            </w:pPr>
            <w:r w:rsidRPr="00E159B4">
              <w:rPr>
                <w:rFonts w:eastAsia="Times New Roman" w:cs="Times New Roman"/>
                <w:b w:val="0"/>
                <w:bCs w:val="0"/>
                <w:color w:val="000000"/>
                <w:sz w:val="22"/>
                <w:szCs w:val="22"/>
              </w:rPr>
              <w:t>Stride Width</w:t>
            </w:r>
          </w:p>
        </w:tc>
        <w:tc>
          <w:tcPr>
            <w:tcW w:w="7654" w:type="dxa"/>
          </w:tcPr>
          <w:p w:rsidR="00D67630" w:rsidRPr="00E159B4" w:rsidRDefault="00D67630" w:rsidP="00D5316A">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E159B4">
              <w:rPr>
                <w:rFonts w:eastAsia="Times New Roman" w:cs="Times New Roman"/>
                <w:color w:val="000000"/>
                <w:sz w:val="22"/>
                <w:szCs w:val="22"/>
              </w:rPr>
              <w:t>Perpendicular distance between the position of the proximal contralateral foot (ankle joint) at contralateral heel-strike to the vector between positions of the proximal ipsilateral foot (ankle joint) at successive ipsilateral heel-strikes, reported in centimeters [cm].</w:t>
            </w:r>
          </w:p>
        </w:tc>
      </w:tr>
      <w:tr w:rsidR="00D67630" w:rsidRPr="00E159B4" w:rsidTr="00D53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Align w:val="center"/>
          </w:tcPr>
          <w:p w:rsidR="00D67630" w:rsidRPr="00E159B4" w:rsidRDefault="00D67630" w:rsidP="00D5316A">
            <w:pPr>
              <w:spacing w:line="276" w:lineRule="auto"/>
              <w:jc w:val="center"/>
              <w:rPr>
                <w:rFonts w:eastAsia="Times New Roman" w:cs="Times New Roman"/>
                <w:b w:val="0"/>
                <w:bCs w:val="0"/>
                <w:sz w:val="22"/>
                <w:szCs w:val="22"/>
              </w:rPr>
            </w:pPr>
            <w:r w:rsidRPr="00E159B4">
              <w:rPr>
                <w:rFonts w:eastAsia="Times New Roman" w:cs="Times New Roman"/>
                <w:b w:val="0"/>
                <w:bCs w:val="0"/>
                <w:color w:val="000000"/>
                <w:sz w:val="22"/>
                <w:szCs w:val="22"/>
              </w:rPr>
              <w:t>Step Time</w:t>
            </w:r>
          </w:p>
        </w:tc>
        <w:tc>
          <w:tcPr>
            <w:tcW w:w="7654" w:type="dxa"/>
          </w:tcPr>
          <w:p w:rsidR="00D67630" w:rsidRPr="00E159B4" w:rsidRDefault="00D67630" w:rsidP="00D5316A">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2"/>
                <w:szCs w:val="22"/>
              </w:rPr>
            </w:pPr>
            <w:r w:rsidRPr="00E159B4">
              <w:rPr>
                <w:rFonts w:eastAsia="Times New Roman" w:cs="Times New Roman"/>
                <w:color w:val="000000"/>
                <w:sz w:val="22"/>
                <w:szCs w:val="22"/>
              </w:rPr>
              <w:t>Time elapsed between heel-strike of the contralateral foot and the successive heel-strike of the ipsilateral foot, reported in seconds [s].</w:t>
            </w:r>
          </w:p>
        </w:tc>
      </w:tr>
      <w:tr w:rsidR="00D67630" w:rsidRPr="00E159B4" w:rsidTr="00D5316A">
        <w:tc>
          <w:tcPr>
            <w:cnfStyle w:val="001000000000" w:firstRow="0" w:lastRow="0" w:firstColumn="1" w:lastColumn="0" w:oddVBand="0" w:evenVBand="0" w:oddHBand="0" w:evenHBand="0" w:firstRowFirstColumn="0" w:firstRowLastColumn="0" w:lastRowFirstColumn="0" w:lastRowLastColumn="0"/>
            <w:tcW w:w="1696" w:type="dxa"/>
            <w:vAlign w:val="center"/>
          </w:tcPr>
          <w:p w:rsidR="00D67630" w:rsidRPr="00E159B4" w:rsidRDefault="00D67630" w:rsidP="00D5316A">
            <w:pPr>
              <w:spacing w:line="276" w:lineRule="auto"/>
              <w:jc w:val="center"/>
              <w:rPr>
                <w:rFonts w:eastAsia="Times New Roman" w:cs="Times New Roman"/>
                <w:b w:val="0"/>
                <w:bCs w:val="0"/>
                <w:sz w:val="22"/>
                <w:szCs w:val="22"/>
              </w:rPr>
            </w:pPr>
            <w:r w:rsidRPr="00E159B4">
              <w:rPr>
                <w:rFonts w:eastAsia="Times New Roman" w:cs="Times New Roman"/>
                <w:b w:val="0"/>
                <w:bCs w:val="0"/>
                <w:sz w:val="22"/>
                <w:szCs w:val="22"/>
              </w:rPr>
              <w:t>Cycle Time</w:t>
            </w:r>
          </w:p>
        </w:tc>
        <w:tc>
          <w:tcPr>
            <w:tcW w:w="7654" w:type="dxa"/>
          </w:tcPr>
          <w:p w:rsidR="00D67630" w:rsidRPr="00E159B4" w:rsidRDefault="00D67630" w:rsidP="00D5316A">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E159B4">
              <w:rPr>
                <w:rFonts w:eastAsia="Times New Roman" w:cs="Times New Roman"/>
                <w:sz w:val="22"/>
                <w:szCs w:val="22"/>
              </w:rPr>
              <w:t>Time elapsed between successive heel-strike events of the same foot, reported in seconds [s].</w:t>
            </w:r>
          </w:p>
        </w:tc>
      </w:tr>
      <w:tr w:rsidR="00D67630" w:rsidRPr="00E159B4" w:rsidTr="00D53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Align w:val="center"/>
          </w:tcPr>
          <w:p w:rsidR="00D67630" w:rsidRPr="00E159B4" w:rsidRDefault="00D67630" w:rsidP="00D5316A">
            <w:pPr>
              <w:spacing w:line="276" w:lineRule="auto"/>
              <w:jc w:val="center"/>
              <w:rPr>
                <w:rFonts w:eastAsia="Times New Roman" w:cs="Times New Roman"/>
                <w:b w:val="0"/>
                <w:bCs w:val="0"/>
                <w:sz w:val="22"/>
                <w:szCs w:val="22"/>
              </w:rPr>
            </w:pPr>
            <w:r w:rsidRPr="00E159B4">
              <w:rPr>
                <w:rFonts w:eastAsia="Times New Roman" w:cs="Times New Roman"/>
                <w:b w:val="0"/>
                <w:bCs w:val="0"/>
                <w:color w:val="000000"/>
                <w:sz w:val="22"/>
                <w:szCs w:val="22"/>
              </w:rPr>
              <w:t>Swing Time</w:t>
            </w:r>
          </w:p>
        </w:tc>
        <w:tc>
          <w:tcPr>
            <w:tcW w:w="7654" w:type="dxa"/>
          </w:tcPr>
          <w:p w:rsidR="00D67630" w:rsidRPr="00E159B4" w:rsidRDefault="00D67630" w:rsidP="00D5316A">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2"/>
                <w:szCs w:val="22"/>
              </w:rPr>
            </w:pPr>
            <w:r w:rsidRPr="00E159B4">
              <w:rPr>
                <w:rFonts w:eastAsia="Times New Roman" w:cs="Times New Roman"/>
                <w:color w:val="000000"/>
                <w:sz w:val="22"/>
                <w:szCs w:val="22"/>
              </w:rPr>
              <w:t>Time elapsed between toe-off of the ipsilateral foot and the successive heel-strike of the same foot, reported in seconds [s].</w:t>
            </w:r>
          </w:p>
        </w:tc>
      </w:tr>
      <w:tr w:rsidR="00D67630" w:rsidRPr="00E159B4" w:rsidTr="00D5316A">
        <w:tc>
          <w:tcPr>
            <w:cnfStyle w:val="001000000000" w:firstRow="0" w:lastRow="0" w:firstColumn="1" w:lastColumn="0" w:oddVBand="0" w:evenVBand="0" w:oddHBand="0" w:evenHBand="0" w:firstRowFirstColumn="0" w:firstRowLastColumn="0" w:lastRowFirstColumn="0" w:lastRowLastColumn="0"/>
            <w:tcW w:w="1696" w:type="dxa"/>
            <w:vAlign w:val="center"/>
          </w:tcPr>
          <w:p w:rsidR="00D67630" w:rsidRPr="00E159B4" w:rsidRDefault="00D67630" w:rsidP="00D5316A">
            <w:pPr>
              <w:spacing w:line="276" w:lineRule="auto"/>
              <w:jc w:val="center"/>
              <w:rPr>
                <w:rFonts w:eastAsia="Times New Roman" w:cs="Times New Roman"/>
                <w:b w:val="0"/>
                <w:bCs w:val="0"/>
                <w:sz w:val="22"/>
                <w:szCs w:val="22"/>
              </w:rPr>
            </w:pPr>
            <w:r w:rsidRPr="00E159B4">
              <w:rPr>
                <w:rFonts w:eastAsia="Times New Roman" w:cs="Times New Roman"/>
                <w:b w:val="0"/>
                <w:bCs w:val="0"/>
                <w:color w:val="000000"/>
                <w:sz w:val="22"/>
                <w:szCs w:val="22"/>
              </w:rPr>
              <w:t>Stance Time</w:t>
            </w:r>
          </w:p>
        </w:tc>
        <w:tc>
          <w:tcPr>
            <w:tcW w:w="7654" w:type="dxa"/>
          </w:tcPr>
          <w:p w:rsidR="00D67630" w:rsidRPr="00E159B4" w:rsidRDefault="00D67630" w:rsidP="00D5316A">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E159B4">
              <w:rPr>
                <w:rFonts w:eastAsia="Times New Roman" w:cs="Times New Roman"/>
                <w:color w:val="000000"/>
                <w:sz w:val="22"/>
                <w:szCs w:val="22"/>
              </w:rPr>
              <w:t>Time elapsed between heel-strike of the ipsilateral foot and the successive toe-off of the same foot, reported in seconds [s].</w:t>
            </w:r>
          </w:p>
        </w:tc>
      </w:tr>
      <w:tr w:rsidR="00D67630" w:rsidRPr="00E159B4" w:rsidTr="00D53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Align w:val="center"/>
          </w:tcPr>
          <w:p w:rsidR="00D67630" w:rsidRPr="00E159B4" w:rsidRDefault="00D67630" w:rsidP="00D5316A">
            <w:pPr>
              <w:spacing w:line="276" w:lineRule="auto"/>
              <w:jc w:val="center"/>
              <w:rPr>
                <w:rFonts w:eastAsia="Times New Roman" w:cs="Times New Roman"/>
                <w:color w:val="000000"/>
                <w:sz w:val="22"/>
                <w:szCs w:val="22"/>
              </w:rPr>
            </w:pPr>
            <w:r w:rsidRPr="00E159B4">
              <w:rPr>
                <w:rFonts w:eastAsia="Times New Roman" w:cs="Times New Roman"/>
                <w:b w:val="0"/>
                <w:bCs w:val="0"/>
                <w:color w:val="000000"/>
                <w:sz w:val="22"/>
                <w:szCs w:val="22"/>
              </w:rPr>
              <w:t>Double-Limb Support Time</w:t>
            </w:r>
          </w:p>
        </w:tc>
        <w:tc>
          <w:tcPr>
            <w:tcW w:w="7654" w:type="dxa"/>
          </w:tcPr>
          <w:p w:rsidR="00D67630" w:rsidRPr="00E159B4" w:rsidRDefault="00D67630" w:rsidP="00D5316A">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2"/>
              </w:rPr>
            </w:pPr>
            <w:r w:rsidRPr="00E159B4">
              <w:rPr>
                <w:rFonts w:eastAsia="Times New Roman" w:cs="Times New Roman"/>
                <w:color w:val="000000"/>
                <w:sz w:val="22"/>
                <w:szCs w:val="22"/>
              </w:rPr>
              <w:t>Time elapsed while both feet are in contact with the ground and taken as the sum of the two instances of double-limb support during one gait cycle, reported in seconds [s].</w:t>
            </w:r>
          </w:p>
        </w:tc>
      </w:tr>
    </w:tbl>
    <w:p w:rsidR="00497799" w:rsidRPr="007009B4" w:rsidRDefault="00497799" w:rsidP="00497799">
      <w:pPr>
        <w:spacing w:line="360" w:lineRule="auto"/>
        <w:rPr>
          <w:rFonts w:eastAsia="Times New Roman" w:cs="Times New Roman"/>
          <w:color w:val="000000"/>
        </w:rPr>
      </w:pPr>
    </w:p>
    <w:p w:rsidR="00497799" w:rsidRPr="007009B4" w:rsidRDefault="00497799" w:rsidP="00497799">
      <w:pPr>
        <w:spacing w:line="360" w:lineRule="auto"/>
        <w:rPr>
          <w:rFonts w:eastAsia="Times New Roman" w:cs="Times New Roman"/>
          <w:color w:val="000000"/>
        </w:rPr>
      </w:pPr>
      <w:r w:rsidRPr="007009B4">
        <w:rPr>
          <w:rFonts w:eastAsia="Times New Roman" w:cs="Times New Roman"/>
          <w:i/>
          <w:iCs/>
          <w:color w:val="000000"/>
          <w:sz w:val="22"/>
          <w:szCs w:val="22"/>
        </w:rPr>
        <w:t>2.5.2 Pressure-Sensitive Gait Mat Comparison</w:t>
      </w:r>
    </w:p>
    <w:p w:rsidR="00497799" w:rsidRPr="007009B4" w:rsidRDefault="00497799" w:rsidP="00497799">
      <w:pPr>
        <w:spacing w:line="360" w:lineRule="auto"/>
        <w:rPr>
          <w:rFonts w:eastAsia="Times New Roman" w:cs="Times New Roman"/>
          <w:color w:val="000000"/>
        </w:rPr>
      </w:pPr>
      <w:r w:rsidRPr="007009B4">
        <w:rPr>
          <w:rFonts w:eastAsia="Times New Roman" w:cs="Times New Roman"/>
          <w:color w:val="000000"/>
          <w:sz w:val="22"/>
          <w:szCs w:val="22"/>
        </w:rPr>
        <w:tab/>
        <w:t xml:space="preserve">Spatiotemporal gait parameters were automatically calculated using </w:t>
      </w:r>
      <w:proofErr w:type="spellStart"/>
      <w:r w:rsidRPr="007009B4">
        <w:rPr>
          <w:rFonts w:eastAsia="Times New Roman" w:cs="Times New Roman"/>
          <w:color w:val="000000"/>
          <w:sz w:val="22"/>
          <w:szCs w:val="22"/>
        </w:rPr>
        <w:t>GAITRite</w:t>
      </w:r>
      <w:proofErr w:type="spellEnd"/>
      <w:r w:rsidRPr="007009B4">
        <w:rPr>
          <w:rFonts w:eastAsia="Times New Roman" w:cs="Times New Roman"/>
          <w:color w:val="000000"/>
          <w:sz w:val="22"/>
          <w:szCs w:val="22"/>
        </w:rPr>
        <w:t xml:space="preserve"> software (v. 4.0) and were exported for analysis in MATLAB. Video data were processed using </w:t>
      </w:r>
      <w:r w:rsidRPr="007009B4">
        <w:rPr>
          <w:rFonts w:eastAsia="Times New Roman" w:cs="Times New Roman"/>
          <w:i/>
          <w:iCs/>
          <w:color w:val="000000"/>
          <w:sz w:val="22"/>
          <w:szCs w:val="22"/>
        </w:rPr>
        <w:t>Theia3D</w:t>
      </w:r>
      <w:r w:rsidRPr="007009B4">
        <w:rPr>
          <w:rFonts w:eastAsia="Times New Roman" w:cs="Times New Roman"/>
          <w:color w:val="000000"/>
          <w:sz w:val="22"/>
          <w:szCs w:val="22"/>
        </w:rPr>
        <w:t xml:space="preserve"> and exported to Visual3D, where the automatic skeletal model was generated. Kinematic gait events were created based on the markerless skeletal model for the gait cycles that occurred on the pressure-sensitive gait mat, which were confirmed to match those recorded by the mat. Gait parameters with definitions matching </w:t>
      </w:r>
      <w:r w:rsidRPr="007009B4">
        <w:rPr>
          <w:rFonts w:eastAsia="Times New Roman" w:cs="Times New Roman"/>
          <w:color w:val="000000"/>
          <w:sz w:val="22"/>
          <w:szCs w:val="22"/>
        </w:rPr>
        <w:lastRenderedPageBreak/>
        <w:t xml:space="preserve">those generated by the </w:t>
      </w:r>
      <w:proofErr w:type="spellStart"/>
      <w:r w:rsidRPr="007009B4">
        <w:rPr>
          <w:rFonts w:eastAsia="Times New Roman" w:cs="Times New Roman"/>
          <w:color w:val="000000"/>
          <w:sz w:val="22"/>
          <w:szCs w:val="22"/>
        </w:rPr>
        <w:t>GAITRite</w:t>
      </w:r>
      <w:proofErr w:type="spellEnd"/>
      <w:r w:rsidRPr="007009B4">
        <w:rPr>
          <w:rFonts w:eastAsia="Times New Roman" w:cs="Times New Roman"/>
          <w:color w:val="000000"/>
          <w:sz w:val="22"/>
          <w:szCs w:val="22"/>
        </w:rPr>
        <w:t xml:space="preserve"> software were calculated in Visual3D and exported for further analysis alongside the gait mat measurements in MATLAB and SPSS. Ten measurements of step length, stride length, stride width, step time, cycle time, swing time, and stance time; and four trial-average measurements of double limb support time were randomly selected from those available and directly compared between systems for each subject.</w:t>
      </w:r>
    </w:p>
    <w:p w:rsidR="00497799" w:rsidRPr="007009B4" w:rsidRDefault="00497799" w:rsidP="00497799">
      <w:pPr>
        <w:spacing w:line="360" w:lineRule="auto"/>
        <w:rPr>
          <w:rFonts w:eastAsia="Times New Roman" w:cs="Times New Roman"/>
          <w:color w:val="000000"/>
        </w:rPr>
      </w:pPr>
      <w:r w:rsidRPr="007009B4">
        <w:rPr>
          <w:rFonts w:eastAsia="Times New Roman" w:cs="Times New Roman"/>
          <w:color w:val="000000"/>
          <w:sz w:val="22"/>
          <w:szCs w:val="22"/>
        </w:rPr>
        <w:t> </w:t>
      </w:r>
    </w:p>
    <w:p w:rsidR="00497799" w:rsidRPr="007009B4" w:rsidRDefault="00497799" w:rsidP="00497799">
      <w:pPr>
        <w:spacing w:line="360" w:lineRule="auto"/>
        <w:rPr>
          <w:rFonts w:eastAsia="Times New Roman" w:cs="Times New Roman"/>
          <w:color w:val="000000"/>
        </w:rPr>
      </w:pPr>
      <w:r w:rsidRPr="007009B4">
        <w:rPr>
          <w:rFonts w:eastAsia="Times New Roman" w:cs="Times New Roman"/>
          <w:i/>
          <w:iCs/>
          <w:color w:val="000000"/>
          <w:sz w:val="22"/>
          <w:szCs w:val="22"/>
        </w:rPr>
        <w:t>2.6 Statistical Analysis</w:t>
      </w:r>
    </w:p>
    <w:p w:rsidR="00497799" w:rsidRPr="007009B4" w:rsidRDefault="00497799" w:rsidP="00497799">
      <w:pPr>
        <w:spacing w:line="360" w:lineRule="auto"/>
        <w:rPr>
          <w:rFonts w:eastAsia="Times New Roman" w:cs="Times New Roman"/>
          <w:color w:val="000000"/>
        </w:rPr>
      </w:pPr>
      <w:r w:rsidRPr="007009B4">
        <w:rPr>
          <w:rFonts w:eastAsia="Times New Roman" w:cs="Times New Roman"/>
          <w:color w:val="000000"/>
          <w:sz w:val="22"/>
          <w:szCs w:val="22"/>
        </w:rPr>
        <w:t xml:space="preserve">            Means and standard deviations of the differences in gait parameter measurements made on an individual measurement basis between systems (marker-based and markerless motion capture; gait mat and markerless motion capture) were calculated across all measurements. Bland-Altman plots with bias and 95% limits of agreement (LOA) were created for each parameter </w:t>
      </w:r>
      <w:hyperlink r:id="rId20" w:history="1">
        <w:r w:rsidRPr="007009B4">
          <w:rPr>
            <w:rFonts w:eastAsia="Times New Roman" w:cs="Times New Roman"/>
            <w:color w:val="000000"/>
            <w:sz w:val="22"/>
            <w:szCs w:val="22"/>
          </w:rPr>
          <w:t>(Bland and Altman, 1986)</w:t>
        </w:r>
      </w:hyperlink>
      <w:r w:rsidRPr="007009B4">
        <w:rPr>
          <w:rFonts w:eastAsia="Times New Roman" w:cs="Times New Roman"/>
          <w:color w:val="000000"/>
          <w:sz w:val="22"/>
          <w:szCs w:val="22"/>
        </w:rPr>
        <w:t xml:space="preserve">. Pearson’s correlation coefficient (r) was calculated to assess correlation, and intraclass correlation coefficients (ICC (A-1)) were calculated to assess agreement </w:t>
      </w:r>
      <w:hyperlink r:id="rId21" w:history="1">
        <w:r w:rsidRPr="007009B4">
          <w:rPr>
            <w:rFonts w:eastAsia="Times New Roman" w:cs="Times New Roman"/>
            <w:color w:val="000000"/>
            <w:sz w:val="22"/>
            <w:szCs w:val="22"/>
          </w:rPr>
          <w:t>(McGraw and Wong, 1996)</w:t>
        </w:r>
      </w:hyperlink>
      <w:r w:rsidRPr="007009B4">
        <w:rPr>
          <w:rFonts w:eastAsia="Times New Roman" w:cs="Times New Roman"/>
          <w:color w:val="000000"/>
          <w:sz w:val="22"/>
          <w:szCs w:val="22"/>
        </w:rPr>
        <w:t xml:space="preserve">. ICC values of &lt; 0.5 were interpreted as poor, 0.5-0.75 were interpreted as moderate, 0.75-0.9 were interpreted as good, and &gt; 0.9 were interpreted as excellent </w:t>
      </w:r>
      <w:hyperlink r:id="rId22" w:history="1">
        <w:r w:rsidRPr="007009B4">
          <w:rPr>
            <w:rFonts w:eastAsia="Times New Roman" w:cs="Times New Roman"/>
            <w:color w:val="000000"/>
            <w:sz w:val="22"/>
            <w:szCs w:val="22"/>
          </w:rPr>
          <w:t>(</w:t>
        </w:r>
        <w:proofErr w:type="spellStart"/>
        <w:r w:rsidRPr="007009B4">
          <w:rPr>
            <w:rFonts w:eastAsia="Times New Roman" w:cs="Times New Roman"/>
            <w:color w:val="000000"/>
            <w:sz w:val="22"/>
            <w:szCs w:val="22"/>
          </w:rPr>
          <w:t>Portney</w:t>
        </w:r>
        <w:proofErr w:type="spellEnd"/>
        <w:r w:rsidRPr="007009B4">
          <w:rPr>
            <w:rFonts w:eastAsia="Times New Roman" w:cs="Times New Roman"/>
            <w:color w:val="000000"/>
            <w:sz w:val="22"/>
            <w:szCs w:val="22"/>
          </w:rPr>
          <w:t xml:space="preserve"> and Watkins, 2009)</w:t>
        </w:r>
      </w:hyperlink>
      <w:r w:rsidRPr="007009B4">
        <w:rPr>
          <w:rFonts w:eastAsia="Times New Roman" w:cs="Times New Roman"/>
          <w:color w:val="000000"/>
          <w:sz w:val="22"/>
          <w:szCs w:val="22"/>
        </w:rPr>
        <w:t>.</w:t>
      </w:r>
    </w:p>
    <w:p w:rsidR="00497799" w:rsidRPr="007009B4" w:rsidRDefault="00497799" w:rsidP="00497799">
      <w:pPr>
        <w:spacing w:line="360" w:lineRule="auto"/>
        <w:rPr>
          <w:rFonts w:eastAsia="Times New Roman" w:cs="Times New Roman"/>
          <w:color w:val="000000"/>
        </w:rPr>
      </w:pPr>
      <w:r w:rsidRPr="007009B4">
        <w:rPr>
          <w:rFonts w:eastAsia="Times New Roman" w:cs="Times New Roman"/>
          <w:color w:val="000000"/>
          <w:sz w:val="22"/>
          <w:szCs w:val="22"/>
        </w:rPr>
        <w:t> </w:t>
      </w:r>
    </w:p>
    <w:p w:rsidR="00497799" w:rsidRPr="007009B4" w:rsidRDefault="00497799" w:rsidP="00497799">
      <w:pPr>
        <w:spacing w:line="360" w:lineRule="auto"/>
        <w:rPr>
          <w:rFonts w:eastAsia="Times New Roman" w:cs="Times New Roman"/>
          <w:color w:val="000000"/>
        </w:rPr>
      </w:pPr>
      <w:r w:rsidRPr="007009B4">
        <w:rPr>
          <w:rFonts w:eastAsia="Times New Roman" w:cs="Times New Roman"/>
          <w:b/>
          <w:bCs/>
          <w:color w:val="000000"/>
          <w:sz w:val="22"/>
          <w:szCs w:val="22"/>
        </w:rPr>
        <w:t>3. Results</w:t>
      </w:r>
    </w:p>
    <w:p w:rsidR="00497799" w:rsidRDefault="00497799" w:rsidP="00497799">
      <w:pPr>
        <w:spacing w:line="360" w:lineRule="auto"/>
        <w:rPr>
          <w:rFonts w:eastAsia="Times New Roman" w:cs="Times New Roman"/>
          <w:color w:val="000000"/>
          <w:sz w:val="22"/>
          <w:szCs w:val="22"/>
        </w:rPr>
      </w:pPr>
      <w:r w:rsidRPr="007009B4">
        <w:rPr>
          <w:rFonts w:eastAsia="Times New Roman" w:cs="Times New Roman"/>
          <w:color w:val="000000"/>
          <w:sz w:val="22"/>
          <w:szCs w:val="22"/>
        </w:rPr>
        <w:tab/>
        <w:t>Summary metrics for the differences between spatiotemporal gait parameters measured using the two systems in each study are shown in Table 3. Gait speed measurements were practically identical between marker-based and markerless motion capture systems, and very similar between the gait mat and markerless motion capture (Figure 1). Mean differences were 0.00 m/s and 0.02 m/s for the motion capture and gait mat comparisons, respectively. LOA for the gait mat comparison indicated markerless gait speed measurements are slightly but systematically slower than those from the gait mat. Correlation coefficients for both studies indicated near-perfect correlation and excellent agreement; however, the gait mat ICC lower bound indicated the possibility of poor agreement likely due to two outlier measurements (Table 3).</w:t>
      </w:r>
    </w:p>
    <w:p w:rsidR="00F34D18" w:rsidRDefault="00F34D18" w:rsidP="00497799">
      <w:pPr>
        <w:spacing w:line="360" w:lineRule="auto"/>
        <w:rPr>
          <w:rFonts w:eastAsia="Times New Roman" w:cs="Times New Roman"/>
          <w:color w:val="000000"/>
          <w:sz w:val="22"/>
          <w:szCs w:val="22"/>
        </w:rPr>
      </w:pPr>
      <w:r>
        <w:rPr>
          <w:rFonts w:eastAsia="Times New Roman" w:cs="Times New Roman"/>
          <w:noProof/>
          <w:color w:val="000000"/>
          <w:sz w:val="22"/>
          <w:szCs w:val="22"/>
        </w:rPr>
        <w:lastRenderedPageBreak/>
        <w:drawing>
          <wp:inline distT="0" distB="0" distL="0" distR="0">
            <wp:extent cx="5334000" cy="360790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23">
                      <a:extLst>
                        <a:ext uri="{28A0092B-C50C-407E-A947-70E740481C1C}">
                          <a14:useLocalDpi xmlns:a14="http://schemas.microsoft.com/office/drawing/2010/main" val="0"/>
                        </a:ext>
                      </a:extLst>
                    </a:blip>
                    <a:srcRect b="9814"/>
                    <a:stretch/>
                  </pic:blipFill>
                  <pic:spPr bwMode="auto">
                    <a:xfrm>
                      <a:off x="0" y="0"/>
                      <a:ext cx="5334000" cy="3607904"/>
                    </a:xfrm>
                    <a:prstGeom prst="rect">
                      <a:avLst/>
                    </a:prstGeom>
                    <a:ln>
                      <a:noFill/>
                    </a:ln>
                    <a:extLst>
                      <a:ext uri="{53640926-AAD7-44D8-BBD7-CCE9431645EC}">
                        <a14:shadowObscured xmlns:a14="http://schemas.microsoft.com/office/drawing/2010/main"/>
                      </a:ext>
                    </a:extLst>
                  </pic:spPr>
                </pic:pic>
              </a:graphicData>
            </a:graphic>
          </wp:inline>
        </w:drawing>
      </w:r>
    </w:p>
    <w:p w:rsidR="00F34D18" w:rsidRDefault="00F34D18" w:rsidP="00F34D18">
      <w:pPr>
        <w:spacing w:line="276" w:lineRule="auto"/>
        <w:rPr>
          <w:rFonts w:eastAsia="Times New Roman" w:cs="Times New Roman"/>
          <w:color w:val="000000"/>
          <w:sz w:val="21"/>
          <w:szCs w:val="21"/>
        </w:rPr>
      </w:pPr>
      <w:r w:rsidRPr="00F34D18">
        <w:rPr>
          <w:rFonts w:eastAsia="Times New Roman" w:cs="Times New Roman"/>
          <w:b/>
          <w:bCs/>
          <w:color w:val="000000"/>
          <w:sz w:val="20"/>
          <w:szCs w:val="20"/>
        </w:rPr>
        <w:t>Figure 1:</w:t>
      </w:r>
      <w:r w:rsidRPr="00F34D18">
        <w:rPr>
          <w:rFonts w:eastAsia="Times New Roman" w:cs="Times New Roman"/>
          <w:color w:val="000000"/>
          <w:sz w:val="20"/>
          <w:szCs w:val="20"/>
        </w:rPr>
        <w:t xml:space="preserve"> Bland-Altman plot, showing the difference between individual measurements of gait speed from both systems against the average of the measurements, for both comparison studies performed. Solid lines and printed values represent the bias (mean difference) obtained from each comparison, and dashed lines represent 95% limits of agreement of the measurements. Motion capture comparison lower and upper limits of agreement were 0.00 m/s and 0.01 m/s, respectively. Gait mat comparison lower and upper limits of agreement were 0.00 m/s and 0.05 m/s, respectively</w:t>
      </w:r>
      <w:r>
        <w:rPr>
          <w:rFonts w:eastAsia="Times New Roman" w:cs="Times New Roman"/>
          <w:color w:val="000000"/>
          <w:sz w:val="21"/>
          <w:szCs w:val="21"/>
        </w:rPr>
        <w:t>.</w:t>
      </w:r>
    </w:p>
    <w:p w:rsidR="00F34D18" w:rsidRPr="00F34D18" w:rsidRDefault="00F34D18" w:rsidP="00F34D18">
      <w:pPr>
        <w:spacing w:line="276" w:lineRule="auto"/>
        <w:rPr>
          <w:rFonts w:eastAsia="Times New Roman" w:cs="Times New Roman"/>
          <w:color w:val="000000"/>
          <w:sz w:val="21"/>
          <w:szCs w:val="21"/>
        </w:rPr>
      </w:pPr>
    </w:p>
    <w:p w:rsidR="00F34D18" w:rsidRDefault="00F34D18" w:rsidP="00F34D18">
      <w:pPr>
        <w:spacing w:line="360" w:lineRule="auto"/>
        <w:ind w:firstLine="720"/>
        <w:rPr>
          <w:rFonts w:eastAsia="Times New Roman" w:cs="Times New Roman"/>
          <w:color w:val="000000"/>
          <w:sz w:val="22"/>
          <w:szCs w:val="22"/>
        </w:rPr>
      </w:pPr>
      <w:r w:rsidRPr="007009B4">
        <w:rPr>
          <w:rFonts w:eastAsia="Times New Roman" w:cs="Times New Roman"/>
          <w:color w:val="000000"/>
          <w:sz w:val="22"/>
          <w:szCs w:val="22"/>
        </w:rPr>
        <w:t>Step and stride length had mean differences of less than 1 cm for both comparisons, with standard deviation values for both parameters of approximately 3.5 cm and 2.5 cm for the motion capture and gait mat comparisons, respectively. Bland-Altman LOA for these parameters were approximately +/- 7 cm for the motion capture comparison and +/- 5 cm for the gait mat comparison (Figure 2). Correlation coefficients indicated both parameters had strong correlations, excellent agreement in the motion capture comparison, and good to excellent agreement in the gait mat comparison.</w:t>
      </w:r>
      <w:r w:rsidRPr="00F34D18">
        <w:rPr>
          <w:rFonts w:eastAsia="Times New Roman" w:cs="Times New Roman"/>
          <w:color w:val="000000"/>
          <w:sz w:val="22"/>
          <w:szCs w:val="22"/>
        </w:rPr>
        <w:t xml:space="preserve"> </w:t>
      </w:r>
      <w:r w:rsidRPr="007009B4">
        <w:rPr>
          <w:rFonts w:eastAsia="Times New Roman" w:cs="Times New Roman"/>
          <w:color w:val="000000"/>
          <w:sz w:val="22"/>
          <w:szCs w:val="22"/>
        </w:rPr>
        <w:t>Stride width had a mean difference of less than 1 cm in the motion capture comparison and -3.66 cm in the gait mat comparison. LOA were roughly +/- 2 cm for the motion capture comparison and -8 cm to 1 cm for the gait mat comparison. ICC values and bounds indicated excellent agreement between the motion capture systems and poor to moderate agreement between the gait mat and markerless motion capture system.</w:t>
      </w:r>
    </w:p>
    <w:p w:rsidR="00F34D18" w:rsidRDefault="00F34D18" w:rsidP="00F34D18">
      <w:pPr>
        <w:spacing w:line="360" w:lineRule="auto"/>
        <w:jc w:val="both"/>
        <w:rPr>
          <w:rFonts w:eastAsia="Times New Roman" w:cs="Times New Roman"/>
          <w:color w:val="000000"/>
        </w:rPr>
      </w:pPr>
      <w:r>
        <w:rPr>
          <w:rFonts w:eastAsia="Times New Roman" w:cs="Times New Roman"/>
          <w:noProof/>
          <w:color w:val="000000"/>
        </w:rPr>
        <w:lastRenderedPageBreak/>
        <w:drawing>
          <wp:inline distT="0" distB="0" distL="0" distR="0">
            <wp:extent cx="5334000" cy="3588026"/>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24">
                      <a:extLst>
                        <a:ext uri="{28A0092B-C50C-407E-A947-70E740481C1C}">
                          <a14:useLocalDpi xmlns:a14="http://schemas.microsoft.com/office/drawing/2010/main" val="0"/>
                        </a:ext>
                      </a:extLst>
                    </a:blip>
                    <a:srcRect b="10311"/>
                    <a:stretch/>
                  </pic:blipFill>
                  <pic:spPr bwMode="auto">
                    <a:xfrm>
                      <a:off x="0" y="0"/>
                      <a:ext cx="5334000" cy="3588026"/>
                    </a:xfrm>
                    <a:prstGeom prst="rect">
                      <a:avLst/>
                    </a:prstGeom>
                    <a:ln>
                      <a:noFill/>
                    </a:ln>
                    <a:extLst>
                      <a:ext uri="{53640926-AAD7-44D8-BBD7-CCE9431645EC}">
                        <a14:shadowObscured xmlns:a14="http://schemas.microsoft.com/office/drawing/2010/main"/>
                      </a:ext>
                    </a:extLst>
                  </pic:spPr>
                </pic:pic>
              </a:graphicData>
            </a:graphic>
          </wp:inline>
        </w:drawing>
      </w:r>
    </w:p>
    <w:p w:rsidR="00F34D18" w:rsidRDefault="00F34D18" w:rsidP="00F34D18">
      <w:pPr>
        <w:spacing w:line="276" w:lineRule="auto"/>
        <w:rPr>
          <w:rFonts w:eastAsia="Times New Roman" w:cs="Times New Roman"/>
          <w:color w:val="000000"/>
          <w:sz w:val="21"/>
          <w:szCs w:val="21"/>
        </w:rPr>
      </w:pPr>
      <w:r w:rsidRPr="00F34D18">
        <w:rPr>
          <w:rFonts w:eastAsia="Times New Roman" w:cs="Times New Roman"/>
          <w:b/>
          <w:bCs/>
          <w:color w:val="000000"/>
          <w:sz w:val="20"/>
          <w:szCs w:val="20"/>
        </w:rPr>
        <w:t>Figure 2:</w:t>
      </w:r>
      <w:r w:rsidRPr="00F34D18">
        <w:rPr>
          <w:rFonts w:eastAsia="Times New Roman" w:cs="Times New Roman"/>
          <w:color w:val="000000"/>
          <w:sz w:val="20"/>
          <w:szCs w:val="20"/>
        </w:rPr>
        <w:t xml:space="preserve"> Bland-Altman plot, showing the difference between individual measurements of stride length from both systems against the average of the measurements, for both comparison studies performed. Solid lines and printed values represent the bias (mean difference) obtained from each comparison, and dashed lines represent 95% limits of agreement of the measurements. Motion capture comparison lower and upper limits of agreement were -7.02 cm and 6.82 cm, respectively. Gait mat comparison lower and upper limits of agreement were -4.63 cm and 4.11 cm, respectively.</w:t>
      </w:r>
    </w:p>
    <w:p w:rsidR="00F34D18" w:rsidRPr="00F34D18" w:rsidRDefault="00F34D18" w:rsidP="00F34D18">
      <w:pPr>
        <w:spacing w:line="276" w:lineRule="auto"/>
        <w:rPr>
          <w:rFonts w:eastAsia="Times New Roman" w:cs="Times New Roman"/>
          <w:color w:val="000000"/>
          <w:sz w:val="21"/>
          <w:szCs w:val="21"/>
        </w:rPr>
      </w:pPr>
    </w:p>
    <w:p w:rsidR="00F34D18" w:rsidRPr="007009B4" w:rsidRDefault="00F34D18" w:rsidP="00F34D18">
      <w:pPr>
        <w:spacing w:line="360" w:lineRule="auto"/>
        <w:rPr>
          <w:rFonts w:eastAsia="Times New Roman" w:cs="Times New Roman"/>
          <w:color w:val="000000"/>
        </w:rPr>
      </w:pPr>
      <w:r w:rsidRPr="007009B4">
        <w:rPr>
          <w:rFonts w:eastAsia="Times New Roman" w:cs="Times New Roman"/>
          <w:color w:val="000000"/>
          <w:sz w:val="22"/>
          <w:szCs w:val="22"/>
        </w:rPr>
        <w:tab/>
        <w:t xml:space="preserve">Time-based parameters from the motion capture comparison had mean differences of 0.01 seconds or less, except for double limb support time which had a mean difference of -0.03 seconds. For the gait mat comparison, the mean differences in measurements were -0.01 seconds in step time, -0.02 seconds in cycle time, 0.03 seconds in swing time, -0.04 seconds in stance time, and 0.07 seconds in double limb support time. The standard deviations of the differences indicated considerable variation on an individual measurement-basis, with values of 0.02 to 0.03 seconds for the motion capture comparison and 0.02 seconds for all parameters in the gait mat comparison except double limb support time, which was 0.12 seconds. Bland-Altman lower LOA ranged from -0.04 to -0.08 seconds for the motion capture comparison, and from -0.01 to -0.15 seconds for the gait mat comparison. Upper LOA ranged from 0.02 to 0.07 seconds for the motion capture comparison, and from 0.00 to 0.30 seconds for the gait mat comparison, with the largest LOA bounds being for double limb support time from the gait mat comparison. Mean differences and Bland-Altman LOA indicate that on average, markerless cycle time and stance time measurements were longer than those from the gait mat, and markerless double limb support time and swing time were shorter than those from the gait mat. Similarly, measurements of stance </w:t>
      </w:r>
      <w:r w:rsidRPr="007009B4">
        <w:rPr>
          <w:rFonts w:eastAsia="Times New Roman" w:cs="Times New Roman"/>
          <w:color w:val="000000"/>
          <w:sz w:val="22"/>
          <w:szCs w:val="22"/>
        </w:rPr>
        <w:lastRenderedPageBreak/>
        <w:t>time and double limb support time from the markerless system were generally longer than those from the marker-based system, while markerless swing time was generally shorter than that from the marker-based system. Intraclass correlation coefficients and their bounds indicated: moderate to good agreement for step time in both comparisons; excellent and poor to excellent agreement for cycle time in the motion capture and gait mat comparisons, respectively; poor to moderate agreement for swing time in both comparisons; moderate to good and poor to good agreement for stance time in the motion capture and gait mat comparisons, respectively; and poor to good and poor agreement for double limb support time in the motion capture and gait mat comparisons, respectively.</w:t>
      </w:r>
    </w:p>
    <w:p w:rsidR="00D67630" w:rsidRDefault="00D67630" w:rsidP="00497799">
      <w:pPr>
        <w:spacing w:line="360" w:lineRule="auto"/>
        <w:rPr>
          <w:rFonts w:eastAsia="Times New Roman" w:cs="Times New Roman"/>
          <w:color w:val="000000"/>
          <w:sz w:val="22"/>
          <w:szCs w:val="22"/>
        </w:rPr>
      </w:pPr>
    </w:p>
    <w:p w:rsidR="00F34D18" w:rsidRDefault="00F34D18">
      <w:pPr>
        <w:rPr>
          <w:rFonts w:eastAsia="Times New Roman" w:cs="Times New Roman"/>
          <w:color w:val="000000"/>
        </w:rPr>
      </w:pPr>
      <w:r>
        <w:rPr>
          <w:rFonts w:eastAsia="Times New Roman" w:cs="Times New Roman"/>
          <w:noProof/>
          <w:color w:val="000000"/>
        </w:rPr>
        <w:drawing>
          <wp:inline distT="0" distB="0" distL="0" distR="0">
            <wp:extent cx="5333305" cy="3667540"/>
            <wp:effectExtent l="0" t="0" r="127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25">
                      <a:extLst>
                        <a:ext uri="{28A0092B-C50C-407E-A947-70E740481C1C}">
                          <a14:useLocalDpi xmlns:a14="http://schemas.microsoft.com/office/drawing/2010/main" val="0"/>
                        </a:ext>
                      </a:extLst>
                    </a:blip>
                    <a:srcRect b="8311"/>
                    <a:stretch/>
                  </pic:blipFill>
                  <pic:spPr bwMode="auto">
                    <a:xfrm>
                      <a:off x="0" y="0"/>
                      <a:ext cx="5334000" cy="3668018"/>
                    </a:xfrm>
                    <a:prstGeom prst="rect">
                      <a:avLst/>
                    </a:prstGeom>
                    <a:ln>
                      <a:noFill/>
                    </a:ln>
                    <a:extLst>
                      <a:ext uri="{53640926-AAD7-44D8-BBD7-CCE9431645EC}">
                        <a14:shadowObscured xmlns:a14="http://schemas.microsoft.com/office/drawing/2010/main"/>
                      </a:ext>
                    </a:extLst>
                  </pic:spPr>
                </pic:pic>
              </a:graphicData>
            </a:graphic>
          </wp:inline>
        </w:drawing>
      </w:r>
    </w:p>
    <w:p w:rsidR="00F34D18" w:rsidRPr="00F34D18" w:rsidRDefault="00F34D18" w:rsidP="00F34D18">
      <w:pPr>
        <w:spacing w:line="276" w:lineRule="auto"/>
        <w:rPr>
          <w:rFonts w:eastAsia="Times New Roman" w:cs="Times New Roman"/>
          <w:color w:val="000000"/>
          <w:sz w:val="21"/>
          <w:szCs w:val="21"/>
        </w:rPr>
      </w:pPr>
      <w:r w:rsidRPr="00F34D18">
        <w:rPr>
          <w:rFonts w:eastAsia="Times New Roman" w:cs="Times New Roman"/>
          <w:b/>
          <w:bCs/>
          <w:color w:val="000000"/>
          <w:sz w:val="20"/>
          <w:szCs w:val="20"/>
        </w:rPr>
        <w:t>Figure 3:</w:t>
      </w:r>
      <w:r w:rsidRPr="00F34D18">
        <w:rPr>
          <w:rFonts w:eastAsia="Times New Roman" w:cs="Times New Roman"/>
          <w:color w:val="000000"/>
          <w:sz w:val="20"/>
          <w:szCs w:val="20"/>
        </w:rPr>
        <w:t xml:space="preserve"> Bland-Altman plot, showing the difference between individual measurements of stance time from both systems against the average of the measurements, for both comparison studies performed. Solid lines and printed values represent the bias (mean difference) obtained from each comparison, and dashed lines represent 95% limits of agreement of the measurements. Motion capture lower and upper limits of agreement were -0.07 s and 0.04 seconds, respectively. Gait mat lower and upper limits of agreement were -0.08 s and 0.00 s, respectively.</w:t>
      </w:r>
    </w:p>
    <w:p w:rsidR="007D3F77" w:rsidRDefault="007D3F77">
      <w:pPr>
        <w:rPr>
          <w:rFonts w:eastAsia="Times New Roman" w:cs="Times New Roman"/>
          <w:color w:val="000000"/>
        </w:rPr>
      </w:pPr>
      <w:r>
        <w:rPr>
          <w:rFonts w:eastAsia="Times New Roman" w:cs="Times New Roman"/>
          <w:color w:val="000000"/>
        </w:rPr>
        <w:br w:type="page"/>
      </w:r>
    </w:p>
    <w:p w:rsidR="007D3F77" w:rsidRDefault="007D3F77">
      <w:pPr>
        <w:rPr>
          <w:rFonts w:eastAsia="Times New Roman" w:cs="Times New Roman"/>
          <w:color w:val="000000"/>
        </w:rPr>
        <w:sectPr w:rsidR="007D3F77" w:rsidSect="00CD678D">
          <w:footerReference w:type="even" r:id="rId26"/>
          <w:footerReference w:type="default" r:id="rId27"/>
          <w:pgSz w:w="12240" w:h="15840"/>
          <w:pgMar w:top="1440" w:right="1440" w:bottom="1440" w:left="1440" w:header="708" w:footer="708" w:gutter="0"/>
          <w:cols w:space="708"/>
          <w:docGrid w:linePitch="360"/>
        </w:sectPr>
      </w:pPr>
    </w:p>
    <w:p w:rsidR="007D3F77" w:rsidRPr="00A93844" w:rsidRDefault="00A93844" w:rsidP="00A93844">
      <w:pPr>
        <w:spacing w:after="120" w:line="276" w:lineRule="auto"/>
        <w:rPr>
          <w:rFonts w:eastAsia="Times New Roman" w:cs="Times New Roman"/>
          <w:color w:val="000000"/>
          <w:sz w:val="21"/>
          <w:szCs w:val="21"/>
        </w:rPr>
      </w:pPr>
      <w:r w:rsidRPr="00A93844">
        <w:rPr>
          <w:rFonts w:eastAsia="Times New Roman" w:cs="Times New Roman"/>
          <w:b/>
          <w:bCs/>
          <w:color w:val="000000"/>
          <w:sz w:val="20"/>
          <w:szCs w:val="20"/>
        </w:rPr>
        <w:lastRenderedPageBreak/>
        <w:t xml:space="preserve">Table 3: </w:t>
      </w:r>
      <w:r w:rsidRPr="00A93844">
        <w:rPr>
          <w:rFonts w:eastAsia="Times New Roman" w:cs="Times New Roman"/>
          <w:color w:val="000000"/>
          <w:sz w:val="20"/>
          <w:szCs w:val="20"/>
        </w:rPr>
        <w:t>Mean differences (equivalent to Bland-Altman bias) and standard deviations of the measurement differences, Bland-Altman limits of agreement (LOA), Pearson’s correlation coefficients (R), ICC(A-1) values, and ICC lower (LB) and upper (UB) bounds for the motion capture (marker-based, markerless) and gait mat (</w:t>
      </w:r>
      <w:proofErr w:type="spellStart"/>
      <w:r w:rsidRPr="00A93844">
        <w:rPr>
          <w:rFonts w:eastAsia="Times New Roman" w:cs="Times New Roman"/>
          <w:color w:val="000000"/>
          <w:sz w:val="20"/>
          <w:szCs w:val="20"/>
        </w:rPr>
        <w:t>GAITRite</w:t>
      </w:r>
      <w:proofErr w:type="spellEnd"/>
      <w:r w:rsidRPr="00A93844">
        <w:rPr>
          <w:rFonts w:eastAsia="Times New Roman" w:cs="Times New Roman"/>
          <w:color w:val="000000"/>
          <w:sz w:val="20"/>
          <w:szCs w:val="20"/>
        </w:rPr>
        <w:t>, markerless) comparison studies.</w:t>
      </w:r>
    </w:p>
    <w:tbl>
      <w:tblPr>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1555"/>
        <w:gridCol w:w="992"/>
        <w:gridCol w:w="992"/>
        <w:gridCol w:w="851"/>
        <w:gridCol w:w="850"/>
        <w:gridCol w:w="851"/>
        <w:gridCol w:w="850"/>
        <w:gridCol w:w="851"/>
        <w:gridCol w:w="850"/>
        <w:gridCol w:w="851"/>
        <w:gridCol w:w="850"/>
        <w:gridCol w:w="851"/>
        <w:gridCol w:w="850"/>
        <w:gridCol w:w="851"/>
        <w:gridCol w:w="850"/>
      </w:tblGrid>
      <w:tr w:rsidR="007D3F77" w:rsidRPr="007D3F77" w:rsidTr="007D3F77">
        <w:trPr>
          <w:trHeight w:val="300"/>
        </w:trPr>
        <w:tc>
          <w:tcPr>
            <w:tcW w:w="1555" w:type="dxa"/>
            <w:vMerge w:val="restart"/>
            <w:shd w:val="clear" w:color="auto" w:fill="auto"/>
            <w:noWrap/>
            <w:vAlign w:val="center"/>
            <w:hideMark/>
          </w:tcPr>
          <w:p w:rsidR="007D3F77" w:rsidRPr="007D3F77" w:rsidRDefault="007D3F77" w:rsidP="00D5316A">
            <w:pPr>
              <w:jc w:val="center"/>
              <w:rPr>
                <w:rFonts w:eastAsia="Times New Roman" w:cs="Times New Roman"/>
                <w:sz w:val="20"/>
                <w:szCs w:val="20"/>
                <w:lang w:eastAsia="en-CA"/>
              </w:rPr>
            </w:pPr>
          </w:p>
        </w:tc>
        <w:tc>
          <w:tcPr>
            <w:tcW w:w="1984" w:type="dxa"/>
            <w:gridSpan w:val="2"/>
            <w:shd w:val="clear" w:color="auto" w:fill="auto"/>
            <w:noWrap/>
            <w:vAlign w:val="center"/>
            <w:hideMark/>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Mean (</w:t>
            </w:r>
            <w:proofErr w:type="spellStart"/>
            <w:r w:rsidRPr="007D3F77">
              <w:rPr>
                <w:rFonts w:eastAsia="Times New Roman" w:cs="Times New Roman"/>
                <w:color w:val="000000"/>
                <w:sz w:val="20"/>
                <w:szCs w:val="20"/>
                <w:lang w:eastAsia="en-CA"/>
              </w:rPr>
              <w:t>StDev</w:t>
            </w:r>
            <w:proofErr w:type="spellEnd"/>
            <w:r w:rsidRPr="007D3F77">
              <w:rPr>
                <w:rFonts w:eastAsia="Times New Roman" w:cs="Times New Roman"/>
                <w:color w:val="000000"/>
                <w:sz w:val="20"/>
                <w:szCs w:val="20"/>
                <w:lang w:eastAsia="en-CA"/>
              </w:rPr>
              <w:t>) Diff</w:t>
            </w:r>
          </w:p>
        </w:tc>
        <w:tc>
          <w:tcPr>
            <w:tcW w:w="1701" w:type="dxa"/>
            <w:gridSpan w:val="2"/>
            <w:shd w:val="clear" w:color="auto" w:fill="auto"/>
            <w:noWrap/>
            <w:vAlign w:val="center"/>
            <w:hideMark/>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Lower LOA</w:t>
            </w:r>
          </w:p>
        </w:tc>
        <w:tc>
          <w:tcPr>
            <w:tcW w:w="1701" w:type="dxa"/>
            <w:gridSpan w:val="2"/>
            <w:shd w:val="clear" w:color="auto" w:fill="auto"/>
            <w:noWrap/>
            <w:vAlign w:val="center"/>
            <w:hideMark/>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Upper LOA</w:t>
            </w:r>
          </w:p>
        </w:tc>
        <w:tc>
          <w:tcPr>
            <w:tcW w:w="1701" w:type="dxa"/>
            <w:gridSpan w:val="2"/>
            <w:shd w:val="clear" w:color="auto" w:fill="auto"/>
            <w:noWrap/>
            <w:vAlign w:val="center"/>
            <w:hideMark/>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Pearson's R</w:t>
            </w:r>
          </w:p>
        </w:tc>
        <w:tc>
          <w:tcPr>
            <w:tcW w:w="1701" w:type="dxa"/>
            <w:gridSpan w:val="2"/>
            <w:shd w:val="clear" w:color="auto" w:fill="auto"/>
            <w:noWrap/>
            <w:vAlign w:val="center"/>
            <w:hideMark/>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ICC (A-1)</w:t>
            </w:r>
          </w:p>
        </w:tc>
        <w:tc>
          <w:tcPr>
            <w:tcW w:w="1701" w:type="dxa"/>
            <w:gridSpan w:val="2"/>
            <w:shd w:val="clear" w:color="auto" w:fill="auto"/>
            <w:noWrap/>
            <w:vAlign w:val="center"/>
            <w:hideMark/>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ICC LB</w:t>
            </w:r>
          </w:p>
        </w:tc>
        <w:tc>
          <w:tcPr>
            <w:tcW w:w="1701" w:type="dxa"/>
            <w:gridSpan w:val="2"/>
            <w:shd w:val="clear" w:color="auto" w:fill="auto"/>
            <w:noWrap/>
            <w:vAlign w:val="center"/>
            <w:hideMark/>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ICC UB</w:t>
            </w:r>
          </w:p>
        </w:tc>
      </w:tr>
      <w:tr w:rsidR="007D3F77" w:rsidRPr="007D3F77" w:rsidTr="007D3F77">
        <w:trPr>
          <w:trHeight w:val="300"/>
        </w:trPr>
        <w:tc>
          <w:tcPr>
            <w:tcW w:w="1555" w:type="dxa"/>
            <w:vMerge/>
            <w:shd w:val="clear" w:color="auto" w:fill="auto"/>
            <w:noWrap/>
            <w:vAlign w:val="center"/>
            <w:hideMark/>
          </w:tcPr>
          <w:p w:rsidR="007D3F77" w:rsidRPr="007D3F77" w:rsidRDefault="007D3F77" w:rsidP="00D5316A">
            <w:pPr>
              <w:jc w:val="center"/>
              <w:rPr>
                <w:rFonts w:eastAsia="Times New Roman" w:cs="Times New Roman"/>
                <w:sz w:val="20"/>
                <w:szCs w:val="20"/>
                <w:lang w:eastAsia="en-CA"/>
              </w:rPr>
            </w:pPr>
          </w:p>
        </w:tc>
        <w:tc>
          <w:tcPr>
            <w:tcW w:w="992" w:type="dxa"/>
            <w:shd w:val="clear" w:color="auto" w:fill="auto"/>
            <w:noWrap/>
            <w:vAlign w:val="center"/>
            <w:hideMark/>
          </w:tcPr>
          <w:p w:rsidR="007D3F77" w:rsidRPr="007D3F77" w:rsidRDefault="007D3F77" w:rsidP="00D5316A">
            <w:pPr>
              <w:jc w:val="center"/>
              <w:rPr>
                <w:rFonts w:eastAsia="Times New Roman" w:cs="Times New Roman"/>
                <w:color w:val="000000"/>
                <w:sz w:val="20"/>
                <w:szCs w:val="20"/>
                <w:lang w:eastAsia="en-CA"/>
              </w:rPr>
            </w:pPr>
            <w:proofErr w:type="spellStart"/>
            <w:r w:rsidRPr="007D3F77">
              <w:rPr>
                <w:rFonts w:eastAsia="Times New Roman" w:cs="Times New Roman"/>
                <w:color w:val="000000"/>
                <w:sz w:val="20"/>
                <w:szCs w:val="20"/>
                <w:lang w:eastAsia="en-CA"/>
              </w:rPr>
              <w:t>MoCap</w:t>
            </w:r>
            <w:proofErr w:type="spellEnd"/>
          </w:p>
        </w:tc>
        <w:tc>
          <w:tcPr>
            <w:tcW w:w="992" w:type="dxa"/>
            <w:shd w:val="clear" w:color="auto" w:fill="auto"/>
            <w:noWrap/>
            <w:vAlign w:val="center"/>
            <w:hideMark/>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Gait Mat</w:t>
            </w:r>
          </w:p>
        </w:tc>
        <w:tc>
          <w:tcPr>
            <w:tcW w:w="851" w:type="dxa"/>
            <w:shd w:val="clear" w:color="auto" w:fill="auto"/>
            <w:noWrap/>
            <w:vAlign w:val="center"/>
            <w:hideMark/>
          </w:tcPr>
          <w:p w:rsidR="007D3F77" w:rsidRPr="007D3F77" w:rsidRDefault="007D3F77" w:rsidP="00D5316A">
            <w:pPr>
              <w:jc w:val="center"/>
              <w:rPr>
                <w:rFonts w:eastAsia="Times New Roman" w:cs="Times New Roman"/>
                <w:color w:val="000000"/>
                <w:sz w:val="20"/>
                <w:szCs w:val="20"/>
                <w:lang w:eastAsia="en-CA"/>
              </w:rPr>
            </w:pPr>
            <w:proofErr w:type="spellStart"/>
            <w:r w:rsidRPr="007D3F77">
              <w:rPr>
                <w:rFonts w:eastAsia="Times New Roman" w:cs="Times New Roman"/>
                <w:color w:val="000000"/>
                <w:sz w:val="20"/>
                <w:szCs w:val="20"/>
                <w:lang w:eastAsia="en-CA"/>
              </w:rPr>
              <w:t>MoCap</w:t>
            </w:r>
            <w:proofErr w:type="spellEnd"/>
          </w:p>
        </w:tc>
        <w:tc>
          <w:tcPr>
            <w:tcW w:w="850" w:type="dxa"/>
            <w:shd w:val="clear" w:color="auto" w:fill="auto"/>
            <w:noWrap/>
            <w:vAlign w:val="center"/>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Gait Mat</w:t>
            </w:r>
          </w:p>
        </w:tc>
        <w:tc>
          <w:tcPr>
            <w:tcW w:w="851" w:type="dxa"/>
            <w:shd w:val="clear" w:color="auto" w:fill="auto"/>
            <w:noWrap/>
            <w:vAlign w:val="center"/>
            <w:hideMark/>
          </w:tcPr>
          <w:p w:rsidR="007D3F77" w:rsidRPr="007D3F77" w:rsidRDefault="007D3F77" w:rsidP="00D5316A">
            <w:pPr>
              <w:jc w:val="center"/>
              <w:rPr>
                <w:rFonts w:eastAsia="Times New Roman" w:cs="Times New Roman"/>
                <w:color w:val="000000"/>
                <w:sz w:val="20"/>
                <w:szCs w:val="20"/>
                <w:lang w:eastAsia="en-CA"/>
              </w:rPr>
            </w:pPr>
            <w:proofErr w:type="spellStart"/>
            <w:r w:rsidRPr="007D3F77">
              <w:rPr>
                <w:rFonts w:eastAsia="Times New Roman" w:cs="Times New Roman"/>
                <w:color w:val="000000"/>
                <w:sz w:val="20"/>
                <w:szCs w:val="20"/>
                <w:lang w:eastAsia="en-CA"/>
              </w:rPr>
              <w:t>MoCap</w:t>
            </w:r>
            <w:proofErr w:type="spellEnd"/>
          </w:p>
        </w:tc>
        <w:tc>
          <w:tcPr>
            <w:tcW w:w="850" w:type="dxa"/>
            <w:shd w:val="clear" w:color="auto" w:fill="auto"/>
            <w:noWrap/>
            <w:vAlign w:val="center"/>
            <w:hideMark/>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 xml:space="preserve">Gait </w:t>
            </w:r>
            <w:r>
              <w:rPr>
                <w:rFonts w:eastAsia="Times New Roman" w:cs="Times New Roman"/>
                <w:color w:val="000000"/>
                <w:sz w:val="20"/>
                <w:szCs w:val="20"/>
                <w:lang w:eastAsia="en-CA"/>
              </w:rPr>
              <w:t>M</w:t>
            </w:r>
            <w:r w:rsidRPr="007D3F77">
              <w:rPr>
                <w:rFonts w:eastAsia="Times New Roman" w:cs="Times New Roman"/>
                <w:color w:val="000000"/>
                <w:sz w:val="20"/>
                <w:szCs w:val="20"/>
                <w:lang w:eastAsia="en-CA"/>
              </w:rPr>
              <w:t>at</w:t>
            </w:r>
          </w:p>
        </w:tc>
        <w:tc>
          <w:tcPr>
            <w:tcW w:w="851" w:type="dxa"/>
            <w:shd w:val="clear" w:color="auto" w:fill="auto"/>
            <w:noWrap/>
            <w:vAlign w:val="center"/>
            <w:hideMark/>
          </w:tcPr>
          <w:p w:rsidR="007D3F77" w:rsidRPr="007D3F77" w:rsidRDefault="007D3F77" w:rsidP="00D5316A">
            <w:pPr>
              <w:jc w:val="center"/>
              <w:rPr>
                <w:rFonts w:eastAsia="Times New Roman" w:cs="Times New Roman"/>
                <w:color w:val="000000"/>
                <w:sz w:val="20"/>
                <w:szCs w:val="20"/>
                <w:lang w:eastAsia="en-CA"/>
              </w:rPr>
            </w:pPr>
            <w:proofErr w:type="spellStart"/>
            <w:r w:rsidRPr="007D3F77">
              <w:rPr>
                <w:rFonts w:eastAsia="Times New Roman" w:cs="Times New Roman"/>
                <w:color w:val="000000"/>
                <w:sz w:val="20"/>
                <w:szCs w:val="20"/>
                <w:lang w:eastAsia="en-CA"/>
              </w:rPr>
              <w:t>MoCap</w:t>
            </w:r>
            <w:proofErr w:type="spellEnd"/>
          </w:p>
        </w:tc>
        <w:tc>
          <w:tcPr>
            <w:tcW w:w="850" w:type="dxa"/>
            <w:shd w:val="clear" w:color="auto" w:fill="auto"/>
            <w:noWrap/>
            <w:vAlign w:val="center"/>
            <w:hideMark/>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Gait Mat</w:t>
            </w:r>
          </w:p>
        </w:tc>
        <w:tc>
          <w:tcPr>
            <w:tcW w:w="851" w:type="dxa"/>
            <w:shd w:val="clear" w:color="auto" w:fill="auto"/>
            <w:noWrap/>
            <w:vAlign w:val="center"/>
            <w:hideMark/>
          </w:tcPr>
          <w:p w:rsidR="007D3F77" w:rsidRPr="007D3F77" w:rsidRDefault="007D3F77" w:rsidP="00D5316A">
            <w:pPr>
              <w:jc w:val="center"/>
              <w:rPr>
                <w:rFonts w:eastAsia="Times New Roman" w:cs="Times New Roman"/>
                <w:color w:val="000000"/>
                <w:sz w:val="20"/>
                <w:szCs w:val="20"/>
                <w:lang w:eastAsia="en-CA"/>
              </w:rPr>
            </w:pPr>
            <w:proofErr w:type="spellStart"/>
            <w:r w:rsidRPr="007D3F77">
              <w:rPr>
                <w:rFonts w:eastAsia="Times New Roman" w:cs="Times New Roman"/>
                <w:color w:val="000000"/>
                <w:sz w:val="20"/>
                <w:szCs w:val="20"/>
                <w:lang w:eastAsia="en-CA"/>
              </w:rPr>
              <w:t>MoCap</w:t>
            </w:r>
            <w:proofErr w:type="spellEnd"/>
          </w:p>
        </w:tc>
        <w:tc>
          <w:tcPr>
            <w:tcW w:w="850" w:type="dxa"/>
            <w:shd w:val="clear" w:color="auto" w:fill="auto"/>
            <w:noWrap/>
            <w:vAlign w:val="center"/>
            <w:hideMark/>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Gait Mat</w:t>
            </w:r>
          </w:p>
        </w:tc>
        <w:tc>
          <w:tcPr>
            <w:tcW w:w="851" w:type="dxa"/>
            <w:shd w:val="clear" w:color="auto" w:fill="auto"/>
            <w:noWrap/>
            <w:vAlign w:val="center"/>
            <w:hideMark/>
          </w:tcPr>
          <w:p w:rsidR="007D3F77" w:rsidRPr="007D3F77" w:rsidRDefault="007D3F77" w:rsidP="00D5316A">
            <w:pPr>
              <w:jc w:val="center"/>
              <w:rPr>
                <w:rFonts w:eastAsia="Times New Roman" w:cs="Times New Roman"/>
                <w:color w:val="000000"/>
                <w:sz w:val="20"/>
                <w:szCs w:val="20"/>
                <w:lang w:eastAsia="en-CA"/>
              </w:rPr>
            </w:pPr>
            <w:proofErr w:type="spellStart"/>
            <w:r w:rsidRPr="007D3F77">
              <w:rPr>
                <w:rFonts w:eastAsia="Times New Roman" w:cs="Times New Roman"/>
                <w:color w:val="000000"/>
                <w:sz w:val="20"/>
                <w:szCs w:val="20"/>
                <w:lang w:eastAsia="en-CA"/>
              </w:rPr>
              <w:t>MoCap</w:t>
            </w:r>
            <w:proofErr w:type="spellEnd"/>
          </w:p>
        </w:tc>
        <w:tc>
          <w:tcPr>
            <w:tcW w:w="850" w:type="dxa"/>
            <w:shd w:val="clear" w:color="auto" w:fill="auto"/>
            <w:noWrap/>
            <w:vAlign w:val="center"/>
            <w:hideMark/>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Gait Mat</w:t>
            </w:r>
          </w:p>
        </w:tc>
        <w:tc>
          <w:tcPr>
            <w:tcW w:w="851" w:type="dxa"/>
            <w:shd w:val="clear" w:color="auto" w:fill="auto"/>
            <w:noWrap/>
            <w:vAlign w:val="center"/>
            <w:hideMark/>
          </w:tcPr>
          <w:p w:rsidR="007D3F77" w:rsidRPr="007D3F77" w:rsidRDefault="007D3F77" w:rsidP="00D5316A">
            <w:pPr>
              <w:jc w:val="center"/>
              <w:rPr>
                <w:rFonts w:eastAsia="Times New Roman" w:cs="Times New Roman"/>
                <w:color w:val="000000"/>
                <w:sz w:val="20"/>
                <w:szCs w:val="20"/>
                <w:lang w:eastAsia="en-CA"/>
              </w:rPr>
            </w:pPr>
            <w:proofErr w:type="spellStart"/>
            <w:r w:rsidRPr="007D3F77">
              <w:rPr>
                <w:rFonts w:eastAsia="Times New Roman" w:cs="Times New Roman"/>
                <w:color w:val="000000"/>
                <w:sz w:val="20"/>
                <w:szCs w:val="20"/>
                <w:lang w:eastAsia="en-CA"/>
              </w:rPr>
              <w:t>MoCap</w:t>
            </w:r>
            <w:proofErr w:type="spellEnd"/>
          </w:p>
        </w:tc>
        <w:tc>
          <w:tcPr>
            <w:tcW w:w="850" w:type="dxa"/>
            <w:shd w:val="clear" w:color="auto" w:fill="auto"/>
            <w:noWrap/>
            <w:vAlign w:val="center"/>
            <w:hideMark/>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Gait Mat</w:t>
            </w:r>
          </w:p>
        </w:tc>
      </w:tr>
      <w:tr w:rsidR="007D3F77" w:rsidRPr="007D3F77" w:rsidTr="007D3F77">
        <w:trPr>
          <w:trHeight w:val="300"/>
        </w:trPr>
        <w:tc>
          <w:tcPr>
            <w:tcW w:w="1555" w:type="dxa"/>
            <w:shd w:val="clear" w:color="auto" w:fill="auto"/>
            <w:noWrap/>
            <w:vAlign w:val="center"/>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Gait Speed [m/s]</w:t>
            </w:r>
          </w:p>
        </w:tc>
        <w:tc>
          <w:tcPr>
            <w:tcW w:w="992" w:type="dxa"/>
            <w:shd w:val="clear" w:color="auto" w:fill="auto"/>
            <w:noWrap/>
            <w:vAlign w:val="center"/>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0.00</w:t>
            </w:r>
          </w:p>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(0.00)</w:t>
            </w:r>
          </w:p>
        </w:tc>
        <w:tc>
          <w:tcPr>
            <w:tcW w:w="992" w:type="dxa"/>
            <w:shd w:val="clear" w:color="auto" w:fill="auto"/>
            <w:noWrap/>
            <w:vAlign w:val="center"/>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0.02</w:t>
            </w:r>
          </w:p>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(0.01)</w:t>
            </w:r>
          </w:p>
        </w:tc>
        <w:tc>
          <w:tcPr>
            <w:tcW w:w="851" w:type="dxa"/>
            <w:shd w:val="clear" w:color="auto" w:fill="auto"/>
            <w:noWrap/>
            <w:vAlign w:val="center"/>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0.00</w:t>
            </w:r>
          </w:p>
        </w:tc>
        <w:tc>
          <w:tcPr>
            <w:tcW w:w="850" w:type="dxa"/>
            <w:shd w:val="clear" w:color="auto" w:fill="auto"/>
            <w:noWrap/>
            <w:vAlign w:val="center"/>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0.00</w:t>
            </w:r>
          </w:p>
        </w:tc>
        <w:tc>
          <w:tcPr>
            <w:tcW w:w="851" w:type="dxa"/>
            <w:shd w:val="clear" w:color="auto" w:fill="auto"/>
            <w:noWrap/>
            <w:vAlign w:val="center"/>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0.01</w:t>
            </w:r>
          </w:p>
        </w:tc>
        <w:tc>
          <w:tcPr>
            <w:tcW w:w="850" w:type="dxa"/>
            <w:shd w:val="clear" w:color="auto" w:fill="auto"/>
            <w:noWrap/>
            <w:vAlign w:val="center"/>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0.05</w:t>
            </w:r>
          </w:p>
        </w:tc>
        <w:tc>
          <w:tcPr>
            <w:tcW w:w="851" w:type="dxa"/>
            <w:shd w:val="clear" w:color="auto" w:fill="auto"/>
            <w:noWrap/>
            <w:vAlign w:val="center"/>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1.00</w:t>
            </w:r>
          </w:p>
        </w:tc>
        <w:tc>
          <w:tcPr>
            <w:tcW w:w="850" w:type="dxa"/>
            <w:shd w:val="clear" w:color="auto" w:fill="auto"/>
            <w:noWrap/>
            <w:vAlign w:val="center"/>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0.99</w:t>
            </w:r>
          </w:p>
        </w:tc>
        <w:tc>
          <w:tcPr>
            <w:tcW w:w="851" w:type="dxa"/>
            <w:shd w:val="clear" w:color="auto" w:fill="auto"/>
            <w:noWrap/>
            <w:vAlign w:val="center"/>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1.00</w:t>
            </w:r>
          </w:p>
        </w:tc>
        <w:tc>
          <w:tcPr>
            <w:tcW w:w="850" w:type="dxa"/>
            <w:shd w:val="clear" w:color="auto" w:fill="auto"/>
            <w:noWrap/>
            <w:vAlign w:val="center"/>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0.97</w:t>
            </w:r>
          </w:p>
        </w:tc>
        <w:tc>
          <w:tcPr>
            <w:tcW w:w="851" w:type="dxa"/>
            <w:shd w:val="clear" w:color="auto" w:fill="auto"/>
            <w:noWrap/>
            <w:vAlign w:val="center"/>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1.00</w:t>
            </w:r>
          </w:p>
        </w:tc>
        <w:tc>
          <w:tcPr>
            <w:tcW w:w="850" w:type="dxa"/>
            <w:shd w:val="clear" w:color="auto" w:fill="auto"/>
            <w:noWrap/>
            <w:vAlign w:val="center"/>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0.23</w:t>
            </w:r>
          </w:p>
        </w:tc>
        <w:tc>
          <w:tcPr>
            <w:tcW w:w="851" w:type="dxa"/>
            <w:shd w:val="clear" w:color="auto" w:fill="auto"/>
            <w:noWrap/>
            <w:vAlign w:val="center"/>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1.00</w:t>
            </w:r>
          </w:p>
        </w:tc>
        <w:tc>
          <w:tcPr>
            <w:tcW w:w="850" w:type="dxa"/>
            <w:shd w:val="clear" w:color="auto" w:fill="auto"/>
            <w:noWrap/>
            <w:vAlign w:val="center"/>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0.99</w:t>
            </w:r>
          </w:p>
        </w:tc>
      </w:tr>
      <w:tr w:rsidR="007D3F77" w:rsidRPr="007D3F77" w:rsidTr="007D3F77">
        <w:trPr>
          <w:trHeight w:val="300"/>
        </w:trPr>
        <w:tc>
          <w:tcPr>
            <w:tcW w:w="1555" w:type="dxa"/>
            <w:shd w:val="clear" w:color="auto" w:fill="auto"/>
            <w:noWrap/>
            <w:vAlign w:val="center"/>
            <w:hideMark/>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Step Length [cm]</w:t>
            </w:r>
          </w:p>
        </w:tc>
        <w:tc>
          <w:tcPr>
            <w:tcW w:w="992" w:type="dxa"/>
            <w:shd w:val="clear" w:color="auto" w:fill="auto"/>
            <w:noWrap/>
            <w:vAlign w:val="center"/>
            <w:hideMark/>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0.00 (3.55)</w:t>
            </w:r>
          </w:p>
        </w:tc>
        <w:tc>
          <w:tcPr>
            <w:tcW w:w="992" w:type="dxa"/>
            <w:shd w:val="clear" w:color="auto" w:fill="auto"/>
            <w:noWrap/>
            <w:vAlign w:val="center"/>
            <w:hideMark/>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-0.09</w:t>
            </w:r>
          </w:p>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(2.54)</w:t>
            </w:r>
          </w:p>
        </w:tc>
        <w:tc>
          <w:tcPr>
            <w:tcW w:w="851" w:type="dxa"/>
            <w:shd w:val="clear" w:color="auto" w:fill="auto"/>
            <w:noWrap/>
            <w:vAlign w:val="center"/>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-6.95</w:t>
            </w:r>
          </w:p>
        </w:tc>
        <w:tc>
          <w:tcPr>
            <w:tcW w:w="850" w:type="dxa"/>
            <w:shd w:val="clear" w:color="auto" w:fill="auto"/>
            <w:noWrap/>
            <w:vAlign w:val="center"/>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-5.06</w:t>
            </w:r>
          </w:p>
        </w:tc>
        <w:tc>
          <w:tcPr>
            <w:tcW w:w="851" w:type="dxa"/>
            <w:shd w:val="clear" w:color="auto" w:fill="auto"/>
            <w:noWrap/>
            <w:vAlign w:val="center"/>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6.96</w:t>
            </w:r>
          </w:p>
        </w:tc>
        <w:tc>
          <w:tcPr>
            <w:tcW w:w="850" w:type="dxa"/>
            <w:shd w:val="clear" w:color="auto" w:fill="auto"/>
            <w:noWrap/>
            <w:vAlign w:val="center"/>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4.88</w:t>
            </w:r>
          </w:p>
        </w:tc>
        <w:tc>
          <w:tcPr>
            <w:tcW w:w="851" w:type="dxa"/>
            <w:shd w:val="clear" w:color="auto" w:fill="auto"/>
            <w:noWrap/>
            <w:vAlign w:val="center"/>
            <w:hideMark/>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0.92</w:t>
            </w:r>
          </w:p>
        </w:tc>
        <w:tc>
          <w:tcPr>
            <w:tcW w:w="850" w:type="dxa"/>
            <w:shd w:val="clear" w:color="auto" w:fill="auto"/>
            <w:noWrap/>
            <w:vAlign w:val="center"/>
            <w:hideMark/>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0.87</w:t>
            </w:r>
          </w:p>
        </w:tc>
        <w:tc>
          <w:tcPr>
            <w:tcW w:w="851" w:type="dxa"/>
            <w:shd w:val="clear" w:color="auto" w:fill="auto"/>
            <w:noWrap/>
            <w:vAlign w:val="center"/>
            <w:hideMark/>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0.92</w:t>
            </w:r>
          </w:p>
        </w:tc>
        <w:tc>
          <w:tcPr>
            <w:tcW w:w="850" w:type="dxa"/>
            <w:shd w:val="clear" w:color="auto" w:fill="auto"/>
            <w:noWrap/>
            <w:vAlign w:val="center"/>
            <w:hideMark/>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0.87</w:t>
            </w:r>
          </w:p>
        </w:tc>
        <w:tc>
          <w:tcPr>
            <w:tcW w:w="851" w:type="dxa"/>
            <w:shd w:val="clear" w:color="auto" w:fill="auto"/>
            <w:noWrap/>
            <w:vAlign w:val="center"/>
            <w:hideMark/>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0.90</w:t>
            </w:r>
          </w:p>
        </w:tc>
        <w:tc>
          <w:tcPr>
            <w:tcW w:w="850" w:type="dxa"/>
            <w:shd w:val="clear" w:color="auto" w:fill="auto"/>
            <w:noWrap/>
            <w:vAlign w:val="center"/>
            <w:hideMark/>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0.83</w:t>
            </w:r>
          </w:p>
        </w:tc>
        <w:tc>
          <w:tcPr>
            <w:tcW w:w="851" w:type="dxa"/>
            <w:shd w:val="clear" w:color="auto" w:fill="auto"/>
            <w:noWrap/>
            <w:vAlign w:val="center"/>
            <w:hideMark/>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0.93</w:t>
            </w:r>
          </w:p>
        </w:tc>
        <w:tc>
          <w:tcPr>
            <w:tcW w:w="850" w:type="dxa"/>
            <w:shd w:val="clear" w:color="auto" w:fill="auto"/>
            <w:noWrap/>
            <w:vAlign w:val="center"/>
            <w:hideMark/>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0.87</w:t>
            </w:r>
          </w:p>
        </w:tc>
      </w:tr>
      <w:tr w:rsidR="007D3F77" w:rsidRPr="007D3F77" w:rsidTr="007D3F77">
        <w:trPr>
          <w:trHeight w:val="300"/>
        </w:trPr>
        <w:tc>
          <w:tcPr>
            <w:tcW w:w="1555" w:type="dxa"/>
            <w:shd w:val="clear" w:color="auto" w:fill="auto"/>
            <w:noWrap/>
            <w:vAlign w:val="center"/>
            <w:hideMark/>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Stride Length [cm]</w:t>
            </w:r>
          </w:p>
        </w:tc>
        <w:tc>
          <w:tcPr>
            <w:tcW w:w="992" w:type="dxa"/>
            <w:shd w:val="clear" w:color="auto" w:fill="auto"/>
            <w:noWrap/>
            <w:vAlign w:val="center"/>
            <w:hideMark/>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-0.10</w:t>
            </w:r>
          </w:p>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(3.53)</w:t>
            </w:r>
          </w:p>
        </w:tc>
        <w:tc>
          <w:tcPr>
            <w:tcW w:w="992" w:type="dxa"/>
            <w:shd w:val="clear" w:color="auto" w:fill="auto"/>
            <w:noWrap/>
            <w:vAlign w:val="center"/>
            <w:hideMark/>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-0.26</w:t>
            </w:r>
          </w:p>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(2.23)</w:t>
            </w:r>
          </w:p>
        </w:tc>
        <w:tc>
          <w:tcPr>
            <w:tcW w:w="851" w:type="dxa"/>
            <w:shd w:val="clear" w:color="auto" w:fill="auto"/>
            <w:noWrap/>
            <w:vAlign w:val="center"/>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-7.02</w:t>
            </w:r>
          </w:p>
        </w:tc>
        <w:tc>
          <w:tcPr>
            <w:tcW w:w="850" w:type="dxa"/>
            <w:shd w:val="clear" w:color="auto" w:fill="auto"/>
            <w:noWrap/>
            <w:vAlign w:val="center"/>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-4.63</w:t>
            </w:r>
          </w:p>
        </w:tc>
        <w:tc>
          <w:tcPr>
            <w:tcW w:w="851" w:type="dxa"/>
            <w:shd w:val="clear" w:color="auto" w:fill="auto"/>
            <w:noWrap/>
            <w:vAlign w:val="center"/>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6.82</w:t>
            </w:r>
          </w:p>
        </w:tc>
        <w:tc>
          <w:tcPr>
            <w:tcW w:w="850" w:type="dxa"/>
            <w:shd w:val="clear" w:color="auto" w:fill="auto"/>
            <w:noWrap/>
            <w:vAlign w:val="center"/>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4.11</w:t>
            </w:r>
          </w:p>
        </w:tc>
        <w:tc>
          <w:tcPr>
            <w:tcW w:w="851" w:type="dxa"/>
            <w:shd w:val="clear" w:color="auto" w:fill="auto"/>
            <w:noWrap/>
            <w:vAlign w:val="center"/>
            <w:hideMark/>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0.98</w:t>
            </w:r>
          </w:p>
        </w:tc>
        <w:tc>
          <w:tcPr>
            <w:tcW w:w="850" w:type="dxa"/>
            <w:shd w:val="clear" w:color="auto" w:fill="auto"/>
            <w:noWrap/>
            <w:vAlign w:val="center"/>
            <w:hideMark/>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0.97</w:t>
            </w:r>
          </w:p>
        </w:tc>
        <w:tc>
          <w:tcPr>
            <w:tcW w:w="851" w:type="dxa"/>
            <w:shd w:val="clear" w:color="auto" w:fill="auto"/>
            <w:noWrap/>
            <w:vAlign w:val="center"/>
            <w:hideMark/>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0.98</w:t>
            </w:r>
          </w:p>
        </w:tc>
        <w:tc>
          <w:tcPr>
            <w:tcW w:w="850" w:type="dxa"/>
            <w:shd w:val="clear" w:color="auto" w:fill="auto"/>
            <w:noWrap/>
            <w:vAlign w:val="center"/>
            <w:hideMark/>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0.97</w:t>
            </w:r>
          </w:p>
        </w:tc>
        <w:tc>
          <w:tcPr>
            <w:tcW w:w="851" w:type="dxa"/>
            <w:shd w:val="clear" w:color="auto" w:fill="auto"/>
            <w:noWrap/>
            <w:vAlign w:val="center"/>
            <w:hideMark/>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0.97</w:t>
            </w:r>
          </w:p>
        </w:tc>
        <w:tc>
          <w:tcPr>
            <w:tcW w:w="850" w:type="dxa"/>
            <w:shd w:val="clear" w:color="auto" w:fill="auto"/>
            <w:noWrap/>
            <w:vAlign w:val="center"/>
            <w:hideMark/>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0.96</w:t>
            </w:r>
          </w:p>
        </w:tc>
        <w:tc>
          <w:tcPr>
            <w:tcW w:w="851" w:type="dxa"/>
            <w:shd w:val="clear" w:color="auto" w:fill="auto"/>
            <w:noWrap/>
            <w:vAlign w:val="center"/>
            <w:hideMark/>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0.98</w:t>
            </w:r>
          </w:p>
        </w:tc>
        <w:tc>
          <w:tcPr>
            <w:tcW w:w="850" w:type="dxa"/>
            <w:shd w:val="clear" w:color="auto" w:fill="auto"/>
            <w:noWrap/>
            <w:vAlign w:val="center"/>
            <w:hideMark/>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0.98</w:t>
            </w:r>
          </w:p>
        </w:tc>
      </w:tr>
      <w:tr w:rsidR="007D3F77" w:rsidRPr="007D3F77" w:rsidTr="007D3F77">
        <w:trPr>
          <w:trHeight w:val="300"/>
        </w:trPr>
        <w:tc>
          <w:tcPr>
            <w:tcW w:w="1555" w:type="dxa"/>
            <w:shd w:val="clear" w:color="auto" w:fill="auto"/>
            <w:noWrap/>
            <w:vAlign w:val="center"/>
            <w:hideMark/>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Stride Width [cm]</w:t>
            </w:r>
          </w:p>
        </w:tc>
        <w:tc>
          <w:tcPr>
            <w:tcW w:w="992" w:type="dxa"/>
            <w:shd w:val="clear" w:color="auto" w:fill="auto"/>
            <w:noWrap/>
            <w:vAlign w:val="center"/>
            <w:hideMark/>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0.02</w:t>
            </w:r>
          </w:p>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(0.95)</w:t>
            </w:r>
          </w:p>
        </w:tc>
        <w:tc>
          <w:tcPr>
            <w:tcW w:w="992" w:type="dxa"/>
            <w:shd w:val="clear" w:color="auto" w:fill="auto"/>
            <w:noWrap/>
            <w:vAlign w:val="center"/>
            <w:hideMark/>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-3.66</w:t>
            </w:r>
          </w:p>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(2.19)</w:t>
            </w:r>
          </w:p>
        </w:tc>
        <w:tc>
          <w:tcPr>
            <w:tcW w:w="851" w:type="dxa"/>
            <w:shd w:val="clear" w:color="auto" w:fill="auto"/>
            <w:noWrap/>
            <w:vAlign w:val="center"/>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-1.84</w:t>
            </w:r>
          </w:p>
        </w:tc>
        <w:tc>
          <w:tcPr>
            <w:tcW w:w="850" w:type="dxa"/>
            <w:shd w:val="clear" w:color="auto" w:fill="auto"/>
            <w:noWrap/>
            <w:vAlign w:val="center"/>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-7.96</w:t>
            </w:r>
          </w:p>
        </w:tc>
        <w:tc>
          <w:tcPr>
            <w:tcW w:w="851" w:type="dxa"/>
            <w:shd w:val="clear" w:color="auto" w:fill="auto"/>
            <w:noWrap/>
            <w:vAlign w:val="center"/>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1.87</w:t>
            </w:r>
          </w:p>
        </w:tc>
        <w:tc>
          <w:tcPr>
            <w:tcW w:w="850" w:type="dxa"/>
            <w:shd w:val="clear" w:color="auto" w:fill="auto"/>
            <w:noWrap/>
            <w:vAlign w:val="center"/>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0.63</w:t>
            </w:r>
          </w:p>
        </w:tc>
        <w:tc>
          <w:tcPr>
            <w:tcW w:w="851" w:type="dxa"/>
            <w:shd w:val="clear" w:color="auto" w:fill="auto"/>
            <w:noWrap/>
            <w:vAlign w:val="center"/>
            <w:hideMark/>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0.94</w:t>
            </w:r>
          </w:p>
        </w:tc>
        <w:tc>
          <w:tcPr>
            <w:tcW w:w="850" w:type="dxa"/>
            <w:shd w:val="clear" w:color="auto" w:fill="auto"/>
            <w:noWrap/>
            <w:vAlign w:val="center"/>
            <w:hideMark/>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0.76</w:t>
            </w:r>
          </w:p>
        </w:tc>
        <w:tc>
          <w:tcPr>
            <w:tcW w:w="851" w:type="dxa"/>
            <w:shd w:val="clear" w:color="auto" w:fill="auto"/>
            <w:noWrap/>
            <w:vAlign w:val="center"/>
            <w:hideMark/>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0.93</w:t>
            </w:r>
          </w:p>
        </w:tc>
        <w:tc>
          <w:tcPr>
            <w:tcW w:w="850" w:type="dxa"/>
            <w:shd w:val="clear" w:color="auto" w:fill="auto"/>
            <w:noWrap/>
            <w:vAlign w:val="center"/>
            <w:hideMark/>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0.44</w:t>
            </w:r>
          </w:p>
        </w:tc>
        <w:tc>
          <w:tcPr>
            <w:tcW w:w="851" w:type="dxa"/>
            <w:shd w:val="clear" w:color="auto" w:fill="auto"/>
            <w:noWrap/>
            <w:vAlign w:val="center"/>
            <w:hideMark/>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0.92</w:t>
            </w:r>
          </w:p>
        </w:tc>
        <w:tc>
          <w:tcPr>
            <w:tcW w:w="850" w:type="dxa"/>
            <w:shd w:val="clear" w:color="auto" w:fill="auto"/>
            <w:noWrap/>
            <w:vAlign w:val="center"/>
            <w:hideMark/>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-0.10</w:t>
            </w:r>
          </w:p>
        </w:tc>
        <w:tc>
          <w:tcPr>
            <w:tcW w:w="851" w:type="dxa"/>
            <w:shd w:val="clear" w:color="auto" w:fill="auto"/>
            <w:noWrap/>
            <w:vAlign w:val="center"/>
            <w:hideMark/>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0.95</w:t>
            </w:r>
          </w:p>
        </w:tc>
        <w:tc>
          <w:tcPr>
            <w:tcW w:w="850" w:type="dxa"/>
            <w:shd w:val="clear" w:color="auto" w:fill="auto"/>
            <w:noWrap/>
            <w:vAlign w:val="center"/>
            <w:hideMark/>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0.75</w:t>
            </w:r>
          </w:p>
        </w:tc>
      </w:tr>
      <w:tr w:rsidR="007D3F77" w:rsidRPr="007D3F77" w:rsidTr="007D3F77">
        <w:trPr>
          <w:trHeight w:val="300"/>
        </w:trPr>
        <w:tc>
          <w:tcPr>
            <w:tcW w:w="1555" w:type="dxa"/>
            <w:shd w:val="clear" w:color="auto" w:fill="auto"/>
            <w:noWrap/>
            <w:vAlign w:val="center"/>
            <w:hideMark/>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Step Time [s]</w:t>
            </w:r>
          </w:p>
        </w:tc>
        <w:tc>
          <w:tcPr>
            <w:tcW w:w="992" w:type="dxa"/>
            <w:shd w:val="clear" w:color="auto" w:fill="auto"/>
            <w:noWrap/>
            <w:vAlign w:val="center"/>
            <w:hideMark/>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0.00</w:t>
            </w:r>
          </w:p>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(0.02)</w:t>
            </w:r>
          </w:p>
        </w:tc>
        <w:tc>
          <w:tcPr>
            <w:tcW w:w="992" w:type="dxa"/>
            <w:shd w:val="clear" w:color="auto" w:fill="auto"/>
            <w:noWrap/>
            <w:vAlign w:val="center"/>
            <w:hideMark/>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-0.01</w:t>
            </w:r>
          </w:p>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(0.02)</w:t>
            </w:r>
          </w:p>
        </w:tc>
        <w:tc>
          <w:tcPr>
            <w:tcW w:w="851" w:type="dxa"/>
            <w:shd w:val="clear" w:color="auto" w:fill="auto"/>
            <w:noWrap/>
            <w:vAlign w:val="center"/>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-0.05</w:t>
            </w:r>
          </w:p>
        </w:tc>
        <w:tc>
          <w:tcPr>
            <w:tcW w:w="850" w:type="dxa"/>
            <w:shd w:val="clear" w:color="auto" w:fill="auto"/>
            <w:noWrap/>
            <w:vAlign w:val="center"/>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-0.04</w:t>
            </w:r>
          </w:p>
        </w:tc>
        <w:tc>
          <w:tcPr>
            <w:tcW w:w="851" w:type="dxa"/>
            <w:shd w:val="clear" w:color="auto" w:fill="auto"/>
            <w:noWrap/>
            <w:vAlign w:val="center"/>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0.05</w:t>
            </w:r>
          </w:p>
        </w:tc>
        <w:tc>
          <w:tcPr>
            <w:tcW w:w="850" w:type="dxa"/>
            <w:shd w:val="clear" w:color="auto" w:fill="auto"/>
            <w:noWrap/>
            <w:vAlign w:val="center"/>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0.03</w:t>
            </w:r>
          </w:p>
        </w:tc>
        <w:tc>
          <w:tcPr>
            <w:tcW w:w="851" w:type="dxa"/>
            <w:shd w:val="clear" w:color="auto" w:fill="auto"/>
            <w:noWrap/>
            <w:vAlign w:val="center"/>
            <w:hideMark/>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0.78</w:t>
            </w:r>
          </w:p>
        </w:tc>
        <w:tc>
          <w:tcPr>
            <w:tcW w:w="850" w:type="dxa"/>
            <w:shd w:val="clear" w:color="auto" w:fill="auto"/>
            <w:noWrap/>
            <w:vAlign w:val="center"/>
            <w:hideMark/>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0.84</w:t>
            </w:r>
          </w:p>
        </w:tc>
        <w:tc>
          <w:tcPr>
            <w:tcW w:w="851" w:type="dxa"/>
            <w:shd w:val="clear" w:color="auto" w:fill="auto"/>
            <w:noWrap/>
            <w:vAlign w:val="center"/>
            <w:hideMark/>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0.78</w:t>
            </w:r>
          </w:p>
        </w:tc>
        <w:tc>
          <w:tcPr>
            <w:tcW w:w="850" w:type="dxa"/>
            <w:shd w:val="clear" w:color="auto" w:fill="auto"/>
            <w:noWrap/>
            <w:vAlign w:val="center"/>
            <w:hideMark/>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0.82</w:t>
            </w:r>
          </w:p>
        </w:tc>
        <w:tc>
          <w:tcPr>
            <w:tcW w:w="851" w:type="dxa"/>
            <w:shd w:val="clear" w:color="auto" w:fill="auto"/>
            <w:noWrap/>
            <w:vAlign w:val="center"/>
            <w:hideMark/>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0.74</w:t>
            </w:r>
          </w:p>
        </w:tc>
        <w:tc>
          <w:tcPr>
            <w:tcW w:w="850" w:type="dxa"/>
            <w:shd w:val="clear" w:color="auto" w:fill="auto"/>
            <w:noWrap/>
            <w:vAlign w:val="center"/>
            <w:hideMark/>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0.70</w:t>
            </w:r>
          </w:p>
        </w:tc>
        <w:tc>
          <w:tcPr>
            <w:tcW w:w="851" w:type="dxa"/>
            <w:shd w:val="clear" w:color="auto" w:fill="auto"/>
            <w:noWrap/>
            <w:vAlign w:val="center"/>
            <w:hideMark/>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0.81</w:t>
            </w:r>
          </w:p>
        </w:tc>
        <w:tc>
          <w:tcPr>
            <w:tcW w:w="850" w:type="dxa"/>
            <w:shd w:val="clear" w:color="auto" w:fill="auto"/>
            <w:noWrap/>
            <w:vAlign w:val="center"/>
            <w:hideMark/>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0.88</w:t>
            </w:r>
          </w:p>
        </w:tc>
      </w:tr>
      <w:tr w:rsidR="007D3F77" w:rsidRPr="007D3F77" w:rsidTr="007D3F77">
        <w:trPr>
          <w:trHeight w:val="300"/>
        </w:trPr>
        <w:tc>
          <w:tcPr>
            <w:tcW w:w="1555" w:type="dxa"/>
            <w:shd w:val="clear" w:color="auto" w:fill="auto"/>
            <w:noWrap/>
            <w:vAlign w:val="center"/>
            <w:hideMark/>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Cycle Time [s]</w:t>
            </w:r>
          </w:p>
        </w:tc>
        <w:tc>
          <w:tcPr>
            <w:tcW w:w="992" w:type="dxa"/>
            <w:shd w:val="clear" w:color="auto" w:fill="auto"/>
            <w:noWrap/>
            <w:vAlign w:val="center"/>
            <w:hideMark/>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0.00 (0.02)</w:t>
            </w:r>
          </w:p>
        </w:tc>
        <w:tc>
          <w:tcPr>
            <w:tcW w:w="992" w:type="dxa"/>
            <w:shd w:val="clear" w:color="auto" w:fill="auto"/>
            <w:noWrap/>
            <w:vAlign w:val="center"/>
            <w:hideMark/>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-0.02</w:t>
            </w:r>
          </w:p>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(0.02)</w:t>
            </w:r>
          </w:p>
        </w:tc>
        <w:tc>
          <w:tcPr>
            <w:tcW w:w="851" w:type="dxa"/>
            <w:shd w:val="clear" w:color="auto" w:fill="auto"/>
            <w:noWrap/>
            <w:vAlign w:val="center"/>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-0.05</w:t>
            </w:r>
          </w:p>
        </w:tc>
        <w:tc>
          <w:tcPr>
            <w:tcW w:w="850" w:type="dxa"/>
            <w:shd w:val="clear" w:color="auto" w:fill="auto"/>
            <w:noWrap/>
            <w:vAlign w:val="center"/>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-0.05</w:t>
            </w:r>
          </w:p>
        </w:tc>
        <w:tc>
          <w:tcPr>
            <w:tcW w:w="851" w:type="dxa"/>
            <w:shd w:val="clear" w:color="auto" w:fill="auto"/>
            <w:noWrap/>
            <w:vAlign w:val="center"/>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0.05</w:t>
            </w:r>
          </w:p>
        </w:tc>
        <w:tc>
          <w:tcPr>
            <w:tcW w:w="850" w:type="dxa"/>
            <w:shd w:val="clear" w:color="auto" w:fill="auto"/>
            <w:noWrap/>
            <w:vAlign w:val="center"/>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0.01</w:t>
            </w:r>
          </w:p>
        </w:tc>
        <w:tc>
          <w:tcPr>
            <w:tcW w:w="851" w:type="dxa"/>
            <w:shd w:val="clear" w:color="auto" w:fill="auto"/>
            <w:noWrap/>
            <w:vAlign w:val="center"/>
            <w:hideMark/>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0.93</w:t>
            </w:r>
          </w:p>
        </w:tc>
        <w:tc>
          <w:tcPr>
            <w:tcW w:w="850" w:type="dxa"/>
            <w:shd w:val="clear" w:color="auto" w:fill="auto"/>
            <w:noWrap/>
            <w:vAlign w:val="center"/>
            <w:hideMark/>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0.96</w:t>
            </w:r>
          </w:p>
        </w:tc>
        <w:tc>
          <w:tcPr>
            <w:tcW w:w="851" w:type="dxa"/>
            <w:shd w:val="clear" w:color="auto" w:fill="auto"/>
            <w:noWrap/>
            <w:vAlign w:val="center"/>
            <w:hideMark/>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0.93</w:t>
            </w:r>
          </w:p>
        </w:tc>
        <w:tc>
          <w:tcPr>
            <w:tcW w:w="850" w:type="dxa"/>
            <w:shd w:val="clear" w:color="auto" w:fill="auto"/>
            <w:noWrap/>
            <w:vAlign w:val="center"/>
            <w:hideMark/>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0.92</w:t>
            </w:r>
          </w:p>
        </w:tc>
        <w:tc>
          <w:tcPr>
            <w:tcW w:w="851" w:type="dxa"/>
            <w:shd w:val="clear" w:color="auto" w:fill="auto"/>
            <w:noWrap/>
            <w:vAlign w:val="center"/>
            <w:hideMark/>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0.92</w:t>
            </w:r>
          </w:p>
        </w:tc>
        <w:tc>
          <w:tcPr>
            <w:tcW w:w="850" w:type="dxa"/>
            <w:shd w:val="clear" w:color="auto" w:fill="auto"/>
            <w:noWrap/>
            <w:vAlign w:val="center"/>
            <w:hideMark/>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0.46</w:t>
            </w:r>
          </w:p>
        </w:tc>
        <w:tc>
          <w:tcPr>
            <w:tcW w:w="851" w:type="dxa"/>
            <w:shd w:val="clear" w:color="auto" w:fill="auto"/>
            <w:noWrap/>
            <w:vAlign w:val="center"/>
            <w:hideMark/>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0.94</w:t>
            </w:r>
          </w:p>
        </w:tc>
        <w:tc>
          <w:tcPr>
            <w:tcW w:w="850" w:type="dxa"/>
            <w:shd w:val="clear" w:color="auto" w:fill="auto"/>
            <w:noWrap/>
            <w:vAlign w:val="center"/>
            <w:hideMark/>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0.97</w:t>
            </w:r>
          </w:p>
        </w:tc>
      </w:tr>
      <w:tr w:rsidR="007D3F77" w:rsidRPr="007D3F77" w:rsidTr="007D3F77">
        <w:trPr>
          <w:trHeight w:val="300"/>
        </w:trPr>
        <w:tc>
          <w:tcPr>
            <w:tcW w:w="1555" w:type="dxa"/>
            <w:shd w:val="clear" w:color="auto" w:fill="auto"/>
            <w:noWrap/>
            <w:vAlign w:val="center"/>
            <w:hideMark/>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Swing Time [s]</w:t>
            </w:r>
          </w:p>
        </w:tc>
        <w:tc>
          <w:tcPr>
            <w:tcW w:w="992" w:type="dxa"/>
            <w:shd w:val="clear" w:color="auto" w:fill="auto"/>
            <w:noWrap/>
            <w:vAlign w:val="center"/>
            <w:hideMark/>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0.01</w:t>
            </w:r>
          </w:p>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(0.03)</w:t>
            </w:r>
          </w:p>
        </w:tc>
        <w:tc>
          <w:tcPr>
            <w:tcW w:w="992" w:type="dxa"/>
            <w:shd w:val="clear" w:color="auto" w:fill="auto"/>
            <w:noWrap/>
            <w:vAlign w:val="center"/>
            <w:hideMark/>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0.03</w:t>
            </w:r>
          </w:p>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(0.02)</w:t>
            </w:r>
          </w:p>
        </w:tc>
        <w:tc>
          <w:tcPr>
            <w:tcW w:w="851" w:type="dxa"/>
            <w:shd w:val="clear" w:color="auto" w:fill="auto"/>
            <w:noWrap/>
            <w:vAlign w:val="center"/>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-0.04</w:t>
            </w:r>
          </w:p>
        </w:tc>
        <w:tc>
          <w:tcPr>
            <w:tcW w:w="850" w:type="dxa"/>
            <w:shd w:val="clear" w:color="auto" w:fill="auto"/>
            <w:noWrap/>
            <w:vAlign w:val="center"/>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-0.01</w:t>
            </w:r>
          </w:p>
        </w:tc>
        <w:tc>
          <w:tcPr>
            <w:tcW w:w="851" w:type="dxa"/>
            <w:shd w:val="clear" w:color="auto" w:fill="auto"/>
            <w:noWrap/>
            <w:vAlign w:val="center"/>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0.07</w:t>
            </w:r>
          </w:p>
        </w:tc>
        <w:tc>
          <w:tcPr>
            <w:tcW w:w="850" w:type="dxa"/>
            <w:shd w:val="clear" w:color="auto" w:fill="auto"/>
            <w:noWrap/>
            <w:vAlign w:val="center"/>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0.06</w:t>
            </w:r>
          </w:p>
        </w:tc>
        <w:tc>
          <w:tcPr>
            <w:tcW w:w="851" w:type="dxa"/>
            <w:shd w:val="clear" w:color="auto" w:fill="auto"/>
            <w:noWrap/>
            <w:vAlign w:val="center"/>
            <w:hideMark/>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0.47</w:t>
            </w:r>
          </w:p>
        </w:tc>
        <w:tc>
          <w:tcPr>
            <w:tcW w:w="850" w:type="dxa"/>
            <w:shd w:val="clear" w:color="auto" w:fill="auto"/>
            <w:noWrap/>
            <w:vAlign w:val="center"/>
            <w:hideMark/>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0.68</w:t>
            </w:r>
          </w:p>
        </w:tc>
        <w:tc>
          <w:tcPr>
            <w:tcW w:w="851" w:type="dxa"/>
            <w:shd w:val="clear" w:color="auto" w:fill="auto"/>
            <w:noWrap/>
            <w:vAlign w:val="center"/>
            <w:hideMark/>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0.39</w:t>
            </w:r>
          </w:p>
        </w:tc>
        <w:tc>
          <w:tcPr>
            <w:tcW w:w="850" w:type="dxa"/>
            <w:shd w:val="clear" w:color="auto" w:fill="auto"/>
            <w:noWrap/>
            <w:vAlign w:val="center"/>
            <w:hideMark/>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0.42</w:t>
            </w:r>
          </w:p>
        </w:tc>
        <w:tc>
          <w:tcPr>
            <w:tcW w:w="851" w:type="dxa"/>
            <w:shd w:val="clear" w:color="auto" w:fill="auto"/>
            <w:noWrap/>
            <w:vAlign w:val="center"/>
            <w:hideMark/>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0.22</w:t>
            </w:r>
          </w:p>
        </w:tc>
        <w:tc>
          <w:tcPr>
            <w:tcW w:w="850" w:type="dxa"/>
            <w:shd w:val="clear" w:color="auto" w:fill="auto"/>
            <w:noWrap/>
            <w:vAlign w:val="center"/>
            <w:hideMark/>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-0.09</w:t>
            </w:r>
          </w:p>
        </w:tc>
        <w:tc>
          <w:tcPr>
            <w:tcW w:w="851" w:type="dxa"/>
            <w:shd w:val="clear" w:color="auto" w:fill="auto"/>
            <w:noWrap/>
            <w:vAlign w:val="center"/>
            <w:hideMark/>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0.53</w:t>
            </w:r>
          </w:p>
        </w:tc>
        <w:tc>
          <w:tcPr>
            <w:tcW w:w="850" w:type="dxa"/>
            <w:shd w:val="clear" w:color="auto" w:fill="auto"/>
            <w:noWrap/>
            <w:vAlign w:val="center"/>
            <w:hideMark/>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0.71</w:t>
            </w:r>
          </w:p>
        </w:tc>
      </w:tr>
      <w:tr w:rsidR="007D3F77" w:rsidRPr="007D3F77" w:rsidTr="007D3F77">
        <w:trPr>
          <w:trHeight w:val="300"/>
        </w:trPr>
        <w:tc>
          <w:tcPr>
            <w:tcW w:w="1555" w:type="dxa"/>
            <w:shd w:val="clear" w:color="auto" w:fill="auto"/>
            <w:noWrap/>
            <w:vAlign w:val="center"/>
            <w:hideMark/>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Stance Time [s]</w:t>
            </w:r>
          </w:p>
        </w:tc>
        <w:tc>
          <w:tcPr>
            <w:tcW w:w="992" w:type="dxa"/>
            <w:shd w:val="clear" w:color="auto" w:fill="auto"/>
            <w:noWrap/>
            <w:vAlign w:val="center"/>
            <w:hideMark/>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-0.01</w:t>
            </w:r>
          </w:p>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(0.03)</w:t>
            </w:r>
          </w:p>
        </w:tc>
        <w:tc>
          <w:tcPr>
            <w:tcW w:w="992" w:type="dxa"/>
            <w:shd w:val="clear" w:color="auto" w:fill="auto"/>
            <w:noWrap/>
            <w:vAlign w:val="center"/>
            <w:hideMark/>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-0.04</w:t>
            </w:r>
          </w:p>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(0.02)</w:t>
            </w:r>
          </w:p>
        </w:tc>
        <w:tc>
          <w:tcPr>
            <w:tcW w:w="851" w:type="dxa"/>
            <w:shd w:val="clear" w:color="auto" w:fill="auto"/>
            <w:noWrap/>
            <w:vAlign w:val="center"/>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-0.07</w:t>
            </w:r>
          </w:p>
        </w:tc>
        <w:tc>
          <w:tcPr>
            <w:tcW w:w="850" w:type="dxa"/>
            <w:shd w:val="clear" w:color="auto" w:fill="auto"/>
            <w:noWrap/>
            <w:vAlign w:val="center"/>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-0.08</w:t>
            </w:r>
          </w:p>
        </w:tc>
        <w:tc>
          <w:tcPr>
            <w:tcW w:w="851" w:type="dxa"/>
            <w:shd w:val="clear" w:color="auto" w:fill="auto"/>
            <w:noWrap/>
            <w:vAlign w:val="center"/>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0.04</w:t>
            </w:r>
          </w:p>
        </w:tc>
        <w:tc>
          <w:tcPr>
            <w:tcW w:w="850" w:type="dxa"/>
            <w:shd w:val="clear" w:color="auto" w:fill="auto"/>
            <w:noWrap/>
            <w:vAlign w:val="center"/>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0.00</w:t>
            </w:r>
          </w:p>
        </w:tc>
        <w:tc>
          <w:tcPr>
            <w:tcW w:w="851" w:type="dxa"/>
            <w:shd w:val="clear" w:color="auto" w:fill="auto"/>
            <w:noWrap/>
            <w:vAlign w:val="center"/>
            <w:hideMark/>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0.85</w:t>
            </w:r>
          </w:p>
        </w:tc>
        <w:tc>
          <w:tcPr>
            <w:tcW w:w="850" w:type="dxa"/>
            <w:shd w:val="clear" w:color="auto" w:fill="auto"/>
            <w:noWrap/>
            <w:vAlign w:val="center"/>
            <w:hideMark/>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0.90</w:t>
            </w:r>
          </w:p>
        </w:tc>
        <w:tc>
          <w:tcPr>
            <w:tcW w:w="851" w:type="dxa"/>
            <w:shd w:val="clear" w:color="auto" w:fill="auto"/>
            <w:noWrap/>
            <w:vAlign w:val="center"/>
            <w:hideMark/>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0.82</w:t>
            </w:r>
          </w:p>
        </w:tc>
        <w:tc>
          <w:tcPr>
            <w:tcW w:w="850" w:type="dxa"/>
            <w:shd w:val="clear" w:color="auto" w:fill="auto"/>
            <w:noWrap/>
            <w:vAlign w:val="center"/>
            <w:hideMark/>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0.62</w:t>
            </w:r>
          </w:p>
        </w:tc>
        <w:tc>
          <w:tcPr>
            <w:tcW w:w="851" w:type="dxa"/>
            <w:shd w:val="clear" w:color="auto" w:fill="auto"/>
            <w:noWrap/>
            <w:vAlign w:val="center"/>
            <w:hideMark/>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0.70</w:t>
            </w:r>
          </w:p>
        </w:tc>
        <w:tc>
          <w:tcPr>
            <w:tcW w:w="850" w:type="dxa"/>
            <w:shd w:val="clear" w:color="auto" w:fill="auto"/>
            <w:noWrap/>
            <w:vAlign w:val="center"/>
            <w:hideMark/>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-0.08</w:t>
            </w:r>
          </w:p>
        </w:tc>
        <w:tc>
          <w:tcPr>
            <w:tcW w:w="851" w:type="dxa"/>
            <w:shd w:val="clear" w:color="auto" w:fill="auto"/>
            <w:noWrap/>
            <w:vAlign w:val="center"/>
            <w:hideMark/>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0.88</w:t>
            </w:r>
          </w:p>
        </w:tc>
        <w:tc>
          <w:tcPr>
            <w:tcW w:w="850" w:type="dxa"/>
            <w:shd w:val="clear" w:color="auto" w:fill="auto"/>
            <w:noWrap/>
            <w:vAlign w:val="center"/>
            <w:hideMark/>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0.87</w:t>
            </w:r>
          </w:p>
        </w:tc>
      </w:tr>
      <w:tr w:rsidR="007D3F77" w:rsidRPr="007D3F77" w:rsidTr="007D3F77">
        <w:trPr>
          <w:trHeight w:val="300"/>
        </w:trPr>
        <w:tc>
          <w:tcPr>
            <w:tcW w:w="1555" w:type="dxa"/>
            <w:shd w:val="clear" w:color="auto" w:fill="auto"/>
            <w:noWrap/>
            <w:vAlign w:val="center"/>
            <w:hideMark/>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Double Limb Support Time [s]</w:t>
            </w:r>
          </w:p>
        </w:tc>
        <w:tc>
          <w:tcPr>
            <w:tcW w:w="992" w:type="dxa"/>
            <w:shd w:val="clear" w:color="auto" w:fill="auto"/>
            <w:noWrap/>
            <w:vAlign w:val="center"/>
            <w:hideMark/>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-0.03</w:t>
            </w:r>
          </w:p>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(0.03)</w:t>
            </w:r>
          </w:p>
        </w:tc>
        <w:tc>
          <w:tcPr>
            <w:tcW w:w="992" w:type="dxa"/>
            <w:shd w:val="clear" w:color="auto" w:fill="auto"/>
            <w:noWrap/>
            <w:vAlign w:val="center"/>
            <w:hideMark/>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0.07</w:t>
            </w:r>
          </w:p>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(0.12)</w:t>
            </w:r>
          </w:p>
        </w:tc>
        <w:tc>
          <w:tcPr>
            <w:tcW w:w="851" w:type="dxa"/>
            <w:shd w:val="clear" w:color="auto" w:fill="auto"/>
            <w:noWrap/>
            <w:vAlign w:val="center"/>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-0.08</w:t>
            </w:r>
          </w:p>
        </w:tc>
        <w:tc>
          <w:tcPr>
            <w:tcW w:w="850" w:type="dxa"/>
            <w:shd w:val="clear" w:color="auto" w:fill="auto"/>
            <w:noWrap/>
            <w:vAlign w:val="center"/>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-0.15</w:t>
            </w:r>
          </w:p>
        </w:tc>
        <w:tc>
          <w:tcPr>
            <w:tcW w:w="851" w:type="dxa"/>
            <w:shd w:val="clear" w:color="auto" w:fill="auto"/>
            <w:noWrap/>
            <w:vAlign w:val="center"/>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0.02</w:t>
            </w:r>
          </w:p>
        </w:tc>
        <w:tc>
          <w:tcPr>
            <w:tcW w:w="850" w:type="dxa"/>
            <w:shd w:val="clear" w:color="auto" w:fill="auto"/>
            <w:noWrap/>
            <w:vAlign w:val="center"/>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0.30</w:t>
            </w:r>
          </w:p>
        </w:tc>
        <w:tc>
          <w:tcPr>
            <w:tcW w:w="851" w:type="dxa"/>
            <w:shd w:val="clear" w:color="auto" w:fill="auto"/>
            <w:noWrap/>
            <w:vAlign w:val="center"/>
            <w:hideMark/>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0.73</w:t>
            </w:r>
          </w:p>
        </w:tc>
        <w:tc>
          <w:tcPr>
            <w:tcW w:w="850" w:type="dxa"/>
            <w:shd w:val="clear" w:color="auto" w:fill="auto"/>
            <w:noWrap/>
            <w:vAlign w:val="center"/>
            <w:hideMark/>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0.09</w:t>
            </w:r>
          </w:p>
        </w:tc>
        <w:tc>
          <w:tcPr>
            <w:tcW w:w="851" w:type="dxa"/>
            <w:shd w:val="clear" w:color="auto" w:fill="auto"/>
            <w:noWrap/>
            <w:vAlign w:val="center"/>
            <w:hideMark/>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0.56</w:t>
            </w:r>
          </w:p>
        </w:tc>
        <w:tc>
          <w:tcPr>
            <w:tcW w:w="850" w:type="dxa"/>
            <w:shd w:val="clear" w:color="auto" w:fill="auto"/>
            <w:noWrap/>
            <w:vAlign w:val="center"/>
            <w:hideMark/>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0.03</w:t>
            </w:r>
          </w:p>
        </w:tc>
        <w:tc>
          <w:tcPr>
            <w:tcW w:w="851" w:type="dxa"/>
            <w:shd w:val="clear" w:color="auto" w:fill="auto"/>
            <w:noWrap/>
            <w:vAlign w:val="center"/>
            <w:hideMark/>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0.01</w:t>
            </w:r>
          </w:p>
        </w:tc>
        <w:tc>
          <w:tcPr>
            <w:tcW w:w="850" w:type="dxa"/>
            <w:shd w:val="clear" w:color="auto" w:fill="auto"/>
            <w:noWrap/>
            <w:vAlign w:val="center"/>
            <w:hideMark/>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-0.10</w:t>
            </w:r>
          </w:p>
        </w:tc>
        <w:tc>
          <w:tcPr>
            <w:tcW w:w="851" w:type="dxa"/>
            <w:shd w:val="clear" w:color="auto" w:fill="auto"/>
            <w:noWrap/>
            <w:vAlign w:val="center"/>
            <w:hideMark/>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0.79</w:t>
            </w:r>
          </w:p>
        </w:tc>
        <w:tc>
          <w:tcPr>
            <w:tcW w:w="850" w:type="dxa"/>
            <w:shd w:val="clear" w:color="auto" w:fill="auto"/>
            <w:noWrap/>
            <w:vAlign w:val="center"/>
            <w:hideMark/>
          </w:tcPr>
          <w:p w:rsidR="007D3F77" w:rsidRPr="007D3F77" w:rsidRDefault="007D3F77" w:rsidP="00D5316A">
            <w:pPr>
              <w:jc w:val="center"/>
              <w:rPr>
                <w:rFonts w:eastAsia="Times New Roman" w:cs="Times New Roman"/>
                <w:color w:val="000000"/>
                <w:sz w:val="20"/>
                <w:szCs w:val="20"/>
                <w:lang w:eastAsia="en-CA"/>
              </w:rPr>
            </w:pPr>
            <w:r w:rsidRPr="007D3F77">
              <w:rPr>
                <w:rFonts w:eastAsia="Times New Roman" w:cs="Times New Roman"/>
                <w:color w:val="000000"/>
                <w:sz w:val="20"/>
                <w:szCs w:val="20"/>
                <w:lang w:eastAsia="en-CA"/>
              </w:rPr>
              <w:t>0.18</w:t>
            </w:r>
          </w:p>
        </w:tc>
      </w:tr>
    </w:tbl>
    <w:p w:rsidR="00D67630" w:rsidRPr="007009B4" w:rsidRDefault="00D67630" w:rsidP="00497799">
      <w:pPr>
        <w:spacing w:line="360" w:lineRule="auto"/>
        <w:rPr>
          <w:rFonts w:eastAsia="Times New Roman" w:cs="Times New Roman"/>
          <w:color w:val="000000"/>
        </w:rPr>
      </w:pPr>
    </w:p>
    <w:p w:rsidR="007D3F77" w:rsidRDefault="007D3F77">
      <w:pPr>
        <w:rPr>
          <w:rFonts w:eastAsia="Times New Roman" w:cs="Times New Roman"/>
          <w:color w:val="000000"/>
          <w:sz w:val="22"/>
          <w:szCs w:val="22"/>
        </w:rPr>
      </w:pPr>
    </w:p>
    <w:p w:rsidR="005F4DA4" w:rsidRDefault="005F4DA4" w:rsidP="00497799">
      <w:pPr>
        <w:spacing w:line="360" w:lineRule="auto"/>
        <w:ind w:firstLine="720"/>
        <w:rPr>
          <w:rFonts w:eastAsia="Times New Roman" w:cs="Times New Roman"/>
          <w:color w:val="000000"/>
          <w:sz w:val="22"/>
          <w:szCs w:val="22"/>
        </w:rPr>
        <w:sectPr w:rsidR="005F4DA4" w:rsidSect="007D3F77">
          <w:pgSz w:w="15840" w:h="12240" w:orient="landscape"/>
          <w:pgMar w:top="1440" w:right="1440" w:bottom="1440" w:left="1440" w:header="708" w:footer="708" w:gutter="0"/>
          <w:cols w:space="708"/>
          <w:docGrid w:linePitch="360"/>
        </w:sectPr>
      </w:pPr>
    </w:p>
    <w:p w:rsidR="00497799" w:rsidRPr="007009B4" w:rsidRDefault="00497799" w:rsidP="00497799">
      <w:pPr>
        <w:spacing w:line="360" w:lineRule="auto"/>
        <w:rPr>
          <w:rFonts w:eastAsia="Times New Roman" w:cs="Times New Roman"/>
          <w:color w:val="000000"/>
        </w:rPr>
      </w:pPr>
    </w:p>
    <w:p w:rsidR="00497799" w:rsidRPr="007009B4" w:rsidRDefault="00497799" w:rsidP="00497799">
      <w:pPr>
        <w:spacing w:line="360" w:lineRule="auto"/>
        <w:rPr>
          <w:rFonts w:eastAsia="Times New Roman" w:cs="Times New Roman"/>
          <w:color w:val="000000"/>
        </w:rPr>
      </w:pPr>
      <w:r w:rsidRPr="007009B4">
        <w:rPr>
          <w:rFonts w:eastAsia="Times New Roman" w:cs="Times New Roman"/>
          <w:b/>
          <w:bCs/>
          <w:color w:val="000000"/>
          <w:sz w:val="22"/>
          <w:szCs w:val="22"/>
        </w:rPr>
        <w:t>4. Discussion</w:t>
      </w:r>
    </w:p>
    <w:p w:rsidR="00497799" w:rsidRPr="007009B4" w:rsidRDefault="00497799" w:rsidP="00497799">
      <w:pPr>
        <w:spacing w:line="360" w:lineRule="auto"/>
        <w:rPr>
          <w:rFonts w:eastAsia="Times New Roman" w:cs="Times New Roman"/>
          <w:color w:val="000000"/>
        </w:rPr>
      </w:pPr>
      <w:r w:rsidRPr="007009B4">
        <w:rPr>
          <w:rFonts w:eastAsia="Times New Roman" w:cs="Times New Roman"/>
          <w:color w:val="000000"/>
          <w:sz w:val="22"/>
          <w:szCs w:val="22"/>
        </w:rPr>
        <w:tab/>
        <w:t xml:space="preserve">Spatiotemporal parameters are simple measures that effectively characterize gait patterns and allow overall health status to be monitored and changes to be detected, therefore holding potential for clinical applications </w:t>
      </w:r>
      <w:hyperlink r:id="rId28" w:history="1">
        <w:r w:rsidRPr="007009B4">
          <w:rPr>
            <w:rFonts w:eastAsia="Times New Roman" w:cs="Times New Roman"/>
            <w:color w:val="000000"/>
            <w:sz w:val="22"/>
            <w:szCs w:val="22"/>
          </w:rPr>
          <w:t>(</w:t>
        </w:r>
        <w:proofErr w:type="spellStart"/>
        <w:r w:rsidRPr="007009B4">
          <w:rPr>
            <w:rFonts w:eastAsia="Times New Roman" w:cs="Times New Roman"/>
            <w:color w:val="000000"/>
            <w:sz w:val="22"/>
            <w:szCs w:val="22"/>
          </w:rPr>
          <w:t>Givon</w:t>
        </w:r>
        <w:proofErr w:type="spellEnd"/>
        <w:r w:rsidRPr="007009B4">
          <w:rPr>
            <w:rFonts w:eastAsia="Times New Roman" w:cs="Times New Roman"/>
            <w:color w:val="000000"/>
            <w:sz w:val="22"/>
            <w:szCs w:val="22"/>
          </w:rPr>
          <w:t xml:space="preserve"> et al., 2009; Hollman et al., 2011)</w:t>
        </w:r>
      </w:hyperlink>
      <w:r w:rsidRPr="007009B4">
        <w:rPr>
          <w:rFonts w:eastAsia="Times New Roman" w:cs="Times New Roman"/>
          <w:color w:val="000000"/>
          <w:sz w:val="22"/>
          <w:szCs w:val="22"/>
        </w:rPr>
        <w:t>. Marker-based motion capture is a widely accepted technology that can measure spatiotemporal gait parameters; however, these systems are expensive, require dedicated laboratory space and experienced operators, and are time intensive to use, reducing their clinical applicability. Pressure-sensitive gait mats are another technology used in the measurement of spatiotemporal gait parameters and have had perhaps the greatest success in translation to clinical use due to their simplicity, ease of use, and lower cost. Despite the many benefits of these systems, they are limited to being used in straight, over-ground walking scenarios with their smooth, padded surface as the walking surface. These characteristics of the data collection conditions differ significantly from real-world walking, the majority of which is performed on inconsistent, rough surfaces with obstacles and turns to negotiate. Markerless motion capture presents an alternative that combines some of the advantages of marker-based motion capture and pressure-sensitive gait mats, including relatively low financial and expertise costs, reduced environment and walking surface requirements, and the option to collect data from more than indoor over-ground walking conditions. The aim of this work was to determine if spatiotemporal gait parameters for healthy gait measured using a markerless motion capture system were equivalent to those from a marker-based motion capture system and a pressure-sensitive gait mat. </w:t>
      </w:r>
    </w:p>
    <w:p w:rsidR="00497799" w:rsidRPr="007009B4" w:rsidRDefault="00497799" w:rsidP="00497799">
      <w:pPr>
        <w:spacing w:line="360" w:lineRule="auto"/>
        <w:ind w:firstLine="720"/>
        <w:rPr>
          <w:rFonts w:eastAsia="Times New Roman" w:cs="Times New Roman"/>
          <w:color w:val="000000"/>
        </w:rPr>
      </w:pPr>
      <w:r w:rsidRPr="007009B4">
        <w:rPr>
          <w:rFonts w:eastAsia="Times New Roman" w:cs="Times New Roman"/>
          <w:color w:val="000000"/>
          <w:sz w:val="22"/>
          <w:szCs w:val="22"/>
        </w:rPr>
        <w:t>The results presented here showed that distance-based gait parameters measured using markerless motion capture demonstrated good to excellent agreement with those from marker-based motion capture and a pressure-sensitive gait mat. The agreement in gait speed, step length and stride length were particularly close between all three measurement systems. Conversely, stride width measurements in the gait mat comparison had low levels of agreement between systems, with the gait mat measuring considerably smaller stride widths than the markerless system. However, the stride width measurements obtained in the motion capture comparison demonstrated excellent agreement between the markerless and marker-based motion capture systems, indicating that the stride width as measured by the gait mat systematically differs from that measured by both motion capture systems. </w:t>
      </w:r>
    </w:p>
    <w:p w:rsidR="00497799" w:rsidRPr="007009B4" w:rsidRDefault="00497799" w:rsidP="00497799">
      <w:pPr>
        <w:spacing w:line="360" w:lineRule="auto"/>
        <w:ind w:firstLine="720"/>
        <w:rPr>
          <w:rFonts w:eastAsia="Times New Roman" w:cs="Times New Roman"/>
          <w:color w:val="000000"/>
        </w:rPr>
      </w:pPr>
      <w:r w:rsidRPr="007009B4">
        <w:rPr>
          <w:rFonts w:eastAsia="Times New Roman" w:cs="Times New Roman"/>
          <w:color w:val="000000"/>
          <w:sz w:val="22"/>
          <w:szCs w:val="22"/>
        </w:rPr>
        <w:t xml:space="preserve">The time-based gait parameters were generally measured with slightly lower agreement between systems, with the lowest levels of agreement observed in swing time and double limb support time in both comparisons. However, agreement between systems was excellent for cycle time, good for step time, and good for stance time. Furthermore, mean differences in time-based parameter measurements when represented as a difference in number of frames were approximately 0 to 4 frames for the motion capture </w:t>
      </w:r>
      <w:r w:rsidRPr="007009B4">
        <w:rPr>
          <w:rFonts w:eastAsia="Times New Roman" w:cs="Times New Roman"/>
          <w:color w:val="000000"/>
          <w:sz w:val="22"/>
          <w:szCs w:val="22"/>
        </w:rPr>
        <w:lastRenderedPageBreak/>
        <w:t>comparison (at 85 Hz) or 0 to 3 frames for the gait mat comparison (at 60 Hz). Considering the use of kinematic-based gait events, these differences in event detection timing are unsurprising, and represent what is likely to be the biggest contributor to the differences in the measurement of temporal gait parameters observed here. </w:t>
      </w:r>
    </w:p>
    <w:p w:rsidR="00497799" w:rsidRPr="007009B4" w:rsidRDefault="00497799" w:rsidP="00497799">
      <w:pPr>
        <w:spacing w:line="360" w:lineRule="auto"/>
        <w:ind w:firstLine="720"/>
        <w:rPr>
          <w:rFonts w:eastAsia="Times New Roman" w:cs="Times New Roman"/>
          <w:color w:val="000000"/>
        </w:rPr>
      </w:pPr>
      <w:r w:rsidRPr="007009B4">
        <w:rPr>
          <w:rFonts w:eastAsia="Times New Roman" w:cs="Times New Roman"/>
          <w:color w:val="000000"/>
          <w:sz w:val="22"/>
          <w:szCs w:val="22"/>
        </w:rPr>
        <w:t xml:space="preserve">Minimal detectable change (MDC) values for these spatiotemporal gait parameters have been measured for a variety of pathological populations, including chronic stroke patients </w:t>
      </w:r>
      <w:hyperlink r:id="rId29" w:history="1">
        <w:r w:rsidRPr="007009B4">
          <w:rPr>
            <w:rFonts w:eastAsia="Times New Roman" w:cs="Times New Roman"/>
            <w:color w:val="000000"/>
            <w:sz w:val="22"/>
            <w:szCs w:val="22"/>
          </w:rPr>
          <w:t>(Geiger et al., 2019)</w:t>
        </w:r>
      </w:hyperlink>
      <w:r w:rsidRPr="007009B4">
        <w:rPr>
          <w:rFonts w:eastAsia="Times New Roman" w:cs="Times New Roman"/>
          <w:color w:val="000000"/>
          <w:sz w:val="22"/>
          <w:szCs w:val="22"/>
        </w:rPr>
        <w:t xml:space="preserve">, adults with multiple sclerosis </w:t>
      </w:r>
      <w:hyperlink r:id="rId30" w:history="1">
        <w:r w:rsidRPr="007009B4">
          <w:rPr>
            <w:rFonts w:eastAsia="Times New Roman" w:cs="Times New Roman"/>
            <w:color w:val="000000"/>
            <w:sz w:val="22"/>
            <w:szCs w:val="22"/>
          </w:rPr>
          <w:t>(</w:t>
        </w:r>
        <w:proofErr w:type="spellStart"/>
        <w:r w:rsidRPr="007009B4">
          <w:rPr>
            <w:rFonts w:eastAsia="Times New Roman" w:cs="Times New Roman"/>
            <w:color w:val="000000"/>
            <w:sz w:val="22"/>
            <w:szCs w:val="22"/>
          </w:rPr>
          <w:t>Andreopoulou</w:t>
        </w:r>
        <w:proofErr w:type="spellEnd"/>
        <w:r w:rsidRPr="007009B4">
          <w:rPr>
            <w:rFonts w:eastAsia="Times New Roman" w:cs="Times New Roman"/>
            <w:color w:val="000000"/>
            <w:sz w:val="22"/>
            <w:szCs w:val="22"/>
          </w:rPr>
          <w:t xml:space="preserve"> et al., 2019)</w:t>
        </w:r>
      </w:hyperlink>
      <w:r w:rsidRPr="007009B4">
        <w:rPr>
          <w:rFonts w:eastAsia="Times New Roman" w:cs="Times New Roman"/>
          <w:color w:val="000000"/>
          <w:sz w:val="22"/>
          <w:szCs w:val="22"/>
        </w:rPr>
        <w:t xml:space="preserve">, post-incomplete spinal </w:t>
      </w:r>
      <w:proofErr w:type="spellStart"/>
      <w:r w:rsidRPr="007009B4">
        <w:rPr>
          <w:rFonts w:eastAsia="Times New Roman" w:cs="Times New Roman"/>
          <w:color w:val="000000"/>
          <w:sz w:val="22"/>
          <w:szCs w:val="22"/>
        </w:rPr>
        <w:t>chord</w:t>
      </w:r>
      <w:proofErr w:type="spellEnd"/>
      <w:r w:rsidRPr="007009B4">
        <w:rPr>
          <w:rFonts w:eastAsia="Times New Roman" w:cs="Times New Roman"/>
          <w:color w:val="000000"/>
          <w:sz w:val="22"/>
          <w:szCs w:val="22"/>
        </w:rPr>
        <w:t xml:space="preserve"> injury patients </w:t>
      </w:r>
      <w:hyperlink r:id="rId31" w:history="1">
        <w:r w:rsidRPr="007009B4">
          <w:rPr>
            <w:rFonts w:eastAsia="Times New Roman" w:cs="Times New Roman"/>
            <w:color w:val="000000"/>
            <w:sz w:val="22"/>
            <w:szCs w:val="22"/>
          </w:rPr>
          <w:t>(Nair et al., 2012)</w:t>
        </w:r>
      </w:hyperlink>
      <w:r w:rsidRPr="007009B4">
        <w:rPr>
          <w:rFonts w:eastAsia="Times New Roman" w:cs="Times New Roman"/>
          <w:color w:val="000000"/>
          <w:sz w:val="22"/>
          <w:szCs w:val="22"/>
        </w:rPr>
        <w:t xml:space="preserve">, chronic low back pain patients </w:t>
      </w:r>
      <w:hyperlink r:id="rId32" w:history="1">
        <w:r w:rsidRPr="007009B4">
          <w:rPr>
            <w:rFonts w:eastAsia="Times New Roman" w:cs="Times New Roman"/>
            <w:color w:val="000000"/>
            <w:sz w:val="22"/>
            <w:szCs w:val="22"/>
          </w:rPr>
          <w:t>(Fernandes et al., 2015)</w:t>
        </w:r>
      </w:hyperlink>
      <w:r w:rsidRPr="007009B4">
        <w:rPr>
          <w:rFonts w:eastAsia="Times New Roman" w:cs="Times New Roman"/>
          <w:color w:val="000000"/>
          <w:sz w:val="22"/>
          <w:szCs w:val="22"/>
        </w:rPr>
        <w:t xml:space="preserve">, and adults with cerebral palsy </w:t>
      </w:r>
      <w:hyperlink r:id="rId33" w:history="1">
        <w:r w:rsidRPr="007009B4">
          <w:rPr>
            <w:rFonts w:eastAsia="Times New Roman" w:cs="Times New Roman"/>
            <w:color w:val="000000"/>
            <w:sz w:val="22"/>
            <w:szCs w:val="22"/>
          </w:rPr>
          <w:t>(Levin et al., 2019)</w:t>
        </w:r>
      </w:hyperlink>
      <w:r w:rsidRPr="007009B4">
        <w:rPr>
          <w:rFonts w:eastAsia="Times New Roman" w:cs="Times New Roman"/>
          <w:color w:val="000000"/>
          <w:sz w:val="22"/>
          <w:szCs w:val="22"/>
        </w:rPr>
        <w:t xml:space="preserve">, and range from 0.11 m/s to 0.23 m/s for gait speed, 4 cm to 17 cm for step length, 8 cm to 17 cm for stride length, and 2 cm to 3 cm for stride width. Similarly, time-based gait parameter MDC values have been reported as 0.04 s to 0.05 s for step time, 0.09 s for cycle time, 0.03 s to 0.28 s for swing time, 0.06 s to 0.09 s for stance time, and 0.03 s to 0.69 s for double limb support time </w:t>
      </w:r>
      <w:hyperlink r:id="rId34" w:history="1">
        <w:r w:rsidRPr="007009B4">
          <w:rPr>
            <w:rFonts w:eastAsia="Times New Roman" w:cs="Times New Roman"/>
            <w:color w:val="000000"/>
            <w:sz w:val="22"/>
            <w:szCs w:val="22"/>
          </w:rPr>
          <w:t xml:space="preserve">(Fernandes et al., 2015; Nair et al., 2012; </w:t>
        </w:r>
        <w:proofErr w:type="spellStart"/>
        <w:r w:rsidRPr="007009B4">
          <w:rPr>
            <w:rFonts w:eastAsia="Times New Roman" w:cs="Times New Roman"/>
            <w:color w:val="000000"/>
            <w:sz w:val="22"/>
            <w:szCs w:val="22"/>
          </w:rPr>
          <w:t>Wittwer</w:t>
        </w:r>
        <w:proofErr w:type="spellEnd"/>
        <w:r w:rsidRPr="007009B4">
          <w:rPr>
            <w:rFonts w:eastAsia="Times New Roman" w:cs="Times New Roman"/>
            <w:color w:val="000000"/>
            <w:sz w:val="22"/>
            <w:szCs w:val="22"/>
          </w:rPr>
          <w:t xml:space="preserve"> et al., 2013)</w:t>
        </w:r>
      </w:hyperlink>
      <w:r w:rsidRPr="007009B4">
        <w:rPr>
          <w:rFonts w:eastAsia="Times New Roman" w:cs="Times New Roman"/>
          <w:color w:val="000000"/>
          <w:sz w:val="22"/>
          <w:szCs w:val="22"/>
        </w:rPr>
        <w:t>. Of the spatiotemporal gait parameters measured in this work, only the mean differences in stride width and double limb support time from the gait mat comparison were greater than their corresponding MDC values, indicating that on average the differences observed in measurements between systems would not limit the detection of clinically relevant changes in these gait parameters.</w:t>
      </w:r>
    </w:p>
    <w:p w:rsidR="00497799" w:rsidRPr="007009B4" w:rsidRDefault="00497799" w:rsidP="00497799">
      <w:pPr>
        <w:spacing w:line="360" w:lineRule="auto"/>
        <w:ind w:firstLine="720"/>
        <w:rPr>
          <w:rFonts w:eastAsia="Times New Roman" w:cs="Times New Roman"/>
          <w:color w:val="000000"/>
        </w:rPr>
      </w:pPr>
      <w:r w:rsidRPr="007009B4">
        <w:rPr>
          <w:rFonts w:eastAsia="Times New Roman" w:cs="Times New Roman"/>
          <w:color w:val="000000"/>
          <w:sz w:val="22"/>
          <w:szCs w:val="22"/>
        </w:rPr>
        <w:t>Despite the agreement observed between systems, there are limitations to the present study that should be considered. The subject samples were composed of healthy, active, young individuals which is not representative of the typically older, injured, or pathological population for which gait analysis is often used. In addition, since the markerless motion capture system is a purely image-based approach, its measurement of walking patterns is theoretically independent of the subject’s health status, appearance, and the collection environment. However, the lack of sensitivity of the markerless system to these factors has yet to be confirmed. Subsequent work will investigate these factors and test the ability of markerless motion capture in wider applications. </w:t>
      </w:r>
    </w:p>
    <w:p w:rsidR="00497799" w:rsidRPr="007009B4" w:rsidRDefault="00497799" w:rsidP="00497799">
      <w:pPr>
        <w:spacing w:line="360" w:lineRule="auto"/>
        <w:ind w:firstLine="720"/>
        <w:rPr>
          <w:rFonts w:eastAsia="Times New Roman" w:cs="Times New Roman"/>
          <w:color w:val="000000"/>
        </w:rPr>
      </w:pPr>
      <w:r w:rsidRPr="007009B4">
        <w:rPr>
          <w:rFonts w:eastAsia="Times New Roman" w:cs="Times New Roman"/>
          <w:color w:val="000000"/>
          <w:sz w:val="22"/>
          <w:szCs w:val="22"/>
        </w:rPr>
        <w:t xml:space="preserve">The studies described in this work were performed using two different video camera systems, each with its own video recording characteristics (resolution, focal length, depth of field, etc.), as the input data to the markerless motion capture system. In addition, the studies used vastly different subject clothing conditions, with motion capture clothing and markers worn in the motion capture comparison and everyday clothing of the subjects’ choice worn in the gait mat comparison. Despite these differences in collected data, the results indicate that neither the camera system nor the clothing conditions significantly affect the measurement of spatiotemporal gait parameters in either study. This supports the implementation of either camera system with </w:t>
      </w:r>
      <w:r w:rsidRPr="007009B4">
        <w:rPr>
          <w:rFonts w:eastAsia="Times New Roman" w:cs="Times New Roman"/>
          <w:i/>
          <w:iCs/>
          <w:color w:val="000000"/>
          <w:sz w:val="22"/>
          <w:szCs w:val="22"/>
        </w:rPr>
        <w:t>Theia3D</w:t>
      </w:r>
      <w:r w:rsidRPr="007009B4">
        <w:rPr>
          <w:rFonts w:eastAsia="Times New Roman" w:cs="Times New Roman"/>
          <w:color w:val="000000"/>
          <w:sz w:val="22"/>
          <w:szCs w:val="22"/>
        </w:rPr>
        <w:t xml:space="preserve"> markerless motion capture software and indicates that both motion capture and everyday clothing can be used when collecting markerless data.</w:t>
      </w:r>
    </w:p>
    <w:p w:rsidR="00497799" w:rsidRPr="007009B4" w:rsidRDefault="00497799" w:rsidP="00497799">
      <w:pPr>
        <w:spacing w:line="360" w:lineRule="auto"/>
        <w:ind w:firstLine="720"/>
        <w:rPr>
          <w:rFonts w:eastAsia="Times New Roman" w:cs="Times New Roman"/>
          <w:color w:val="000000"/>
        </w:rPr>
      </w:pPr>
      <w:r w:rsidRPr="007009B4">
        <w:rPr>
          <w:rFonts w:eastAsia="Times New Roman" w:cs="Times New Roman"/>
          <w:color w:val="000000"/>
          <w:sz w:val="22"/>
          <w:szCs w:val="22"/>
        </w:rPr>
        <w:lastRenderedPageBreak/>
        <w:t>Based on the results presented here, markerless motion capture is capable of adequately measuring spatiotemporal gait parameters of healthy adults during treadmill and overground walking. This initial demonstration of the accuracy of this system should prompt further investigation of the capability to measure spatiotemporal gait parameters of impaired gait and more environments.</w:t>
      </w:r>
    </w:p>
    <w:p w:rsidR="00497799" w:rsidRPr="007009B4" w:rsidRDefault="00497799" w:rsidP="00497799">
      <w:pPr>
        <w:spacing w:line="360" w:lineRule="auto"/>
        <w:rPr>
          <w:rFonts w:eastAsia="Times New Roman" w:cs="Times New Roman"/>
          <w:color w:val="000000"/>
        </w:rPr>
      </w:pPr>
    </w:p>
    <w:p w:rsidR="00497799" w:rsidRPr="007009B4" w:rsidRDefault="00497799" w:rsidP="00497799">
      <w:pPr>
        <w:spacing w:line="360" w:lineRule="auto"/>
        <w:rPr>
          <w:rFonts w:eastAsia="Times New Roman" w:cs="Times New Roman"/>
          <w:color w:val="000000"/>
        </w:rPr>
      </w:pPr>
      <w:r w:rsidRPr="007009B4">
        <w:rPr>
          <w:rFonts w:eastAsia="Times New Roman" w:cs="Times New Roman"/>
          <w:b/>
          <w:bCs/>
          <w:color w:val="000000"/>
          <w:sz w:val="22"/>
          <w:szCs w:val="22"/>
        </w:rPr>
        <w:t>Conflict of Interest Statement</w:t>
      </w:r>
    </w:p>
    <w:p w:rsidR="00497799" w:rsidRPr="007009B4" w:rsidRDefault="00497799" w:rsidP="00497799">
      <w:pPr>
        <w:spacing w:line="360" w:lineRule="auto"/>
        <w:rPr>
          <w:rFonts w:eastAsia="Times New Roman" w:cs="Times New Roman"/>
          <w:color w:val="000000"/>
        </w:rPr>
      </w:pPr>
      <w:r w:rsidRPr="007009B4">
        <w:rPr>
          <w:rFonts w:eastAsia="Times New Roman" w:cs="Times New Roman"/>
          <w:color w:val="000000"/>
          <w:sz w:val="22"/>
          <w:szCs w:val="22"/>
        </w:rPr>
        <w:t xml:space="preserve">Scott </w:t>
      </w:r>
      <w:proofErr w:type="spellStart"/>
      <w:r w:rsidRPr="007009B4">
        <w:rPr>
          <w:rFonts w:eastAsia="Times New Roman" w:cs="Times New Roman"/>
          <w:color w:val="000000"/>
          <w:sz w:val="22"/>
          <w:szCs w:val="22"/>
        </w:rPr>
        <w:t>Selbie</w:t>
      </w:r>
      <w:proofErr w:type="spellEnd"/>
      <w:r w:rsidRPr="007009B4">
        <w:rPr>
          <w:rFonts w:eastAsia="Times New Roman" w:cs="Times New Roman"/>
          <w:color w:val="000000"/>
          <w:sz w:val="22"/>
          <w:szCs w:val="22"/>
        </w:rPr>
        <w:t xml:space="preserve"> is the President and Marcus Brown is the Director of Technology of Theia Markerless Inc. (Kingston, Ontario), the developers of </w:t>
      </w:r>
      <w:r w:rsidRPr="007009B4">
        <w:rPr>
          <w:rFonts w:eastAsia="Times New Roman" w:cs="Times New Roman"/>
          <w:i/>
          <w:iCs/>
          <w:color w:val="000000"/>
          <w:sz w:val="22"/>
          <w:szCs w:val="22"/>
        </w:rPr>
        <w:t>Theia3D</w:t>
      </w:r>
      <w:r w:rsidRPr="007009B4">
        <w:rPr>
          <w:rFonts w:eastAsia="Times New Roman" w:cs="Times New Roman"/>
          <w:color w:val="000000"/>
          <w:sz w:val="22"/>
          <w:szCs w:val="22"/>
        </w:rPr>
        <w:t>.</w:t>
      </w:r>
    </w:p>
    <w:p w:rsidR="00497799" w:rsidRPr="007009B4" w:rsidRDefault="00497799" w:rsidP="00497799">
      <w:pPr>
        <w:spacing w:line="360" w:lineRule="auto"/>
        <w:rPr>
          <w:rFonts w:eastAsia="Times New Roman" w:cs="Times New Roman"/>
          <w:color w:val="000000"/>
        </w:rPr>
      </w:pPr>
      <w:r w:rsidRPr="007009B4">
        <w:rPr>
          <w:rFonts w:eastAsia="Times New Roman" w:cs="Times New Roman"/>
          <w:color w:val="000000"/>
          <w:sz w:val="22"/>
          <w:szCs w:val="22"/>
        </w:rPr>
        <w:t> </w:t>
      </w:r>
    </w:p>
    <w:p w:rsidR="00497799" w:rsidRPr="007009B4" w:rsidRDefault="00497799" w:rsidP="00497799">
      <w:pPr>
        <w:spacing w:line="360" w:lineRule="auto"/>
        <w:rPr>
          <w:rFonts w:eastAsia="Times New Roman" w:cs="Times New Roman"/>
          <w:color w:val="000000"/>
        </w:rPr>
      </w:pPr>
      <w:r w:rsidRPr="007009B4">
        <w:rPr>
          <w:rFonts w:eastAsia="Times New Roman" w:cs="Times New Roman"/>
          <w:b/>
          <w:bCs/>
          <w:color w:val="000000"/>
          <w:sz w:val="22"/>
          <w:szCs w:val="22"/>
        </w:rPr>
        <w:t>Acknowledgements</w:t>
      </w:r>
    </w:p>
    <w:p w:rsidR="00497799" w:rsidRDefault="00497799" w:rsidP="00497799">
      <w:pPr>
        <w:spacing w:line="360" w:lineRule="auto"/>
        <w:rPr>
          <w:rFonts w:eastAsia="Times New Roman" w:cs="Times New Roman"/>
          <w:b/>
          <w:bCs/>
          <w:color w:val="000000"/>
          <w:sz w:val="22"/>
          <w:szCs w:val="22"/>
        </w:rPr>
      </w:pPr>
      <w:r w:rsidRPr="007009B4">
        <w:rPr>
          <w:rFonts w:eastAsia="Times New Roman" w:cs="Times New Roman"/>
          <w:color w:val="000000"/>
          <w:sz w:val="22"/>
          <w:szCs w:val="22"/>
        </w:rPr>
        <w:t>We thank the members of the Human Mobility Research Laboratory for their assistance with participant recruitment, data collection, and data processing.</w:t>
      </w:r>
    </w:p>
    <w:p w:rsidR="00497799" w:rsidRDefault="00497799" w:rsidP="00497799">
      <w:pPr>
        <w:spacing w:line="360" w:lineRule="auto"/>
        <w:rPr>
          <w:rFonts w:eastAsia="Times New Roman" w:cs="Times New Roman"/>
          <w:b/>
          <w:bCs/>
          <w:color w:val="000000"/>
          <w:sz w:val="22"/>
          <w:szCs w:val="22"/>
        </w:rPr>
      </w:pPr>
    </w:p>
    <w:p w:rsidR="00497799" w:rsidRPr="007009B4" w:rsidRDefault="00497799" w:rsidP="00497799">
      <w:pPr>
        <w:spacing w:line="360" w:lineRule="auto"/>
        <w:rPr>
          <w:rFonts w:eastAsia="Times New Roman" w:cs="Times New Roman"/>
          <w:color w:val="000000"/>
        </w:rPr>
      </w:pPr>
      <w:r w:rsidRPr="007009B4">
        <w:rPr>
          <w:rFonts w:eastAsia="Times New Roman" w:cs="Times New Roman"/>
          <w:b/>
          <w:bCs/>
          <w:color w:val="000000"/>
          <w:sz w:val="22"/>
          <w:szCs w:val="22"/>
        </w:rPr>
        <w:t>References</w:t>
      </w:r>
    </w:p>
    <w:p w:rsidR="00497799" w:rsidRPr="007009B4" w:rsidRDefault="00497799" w:rsidP="00497799">
      <w:pPr>
        <w:spacing w:line="360" w:lineRule="auto"/>
        <w:ind w:left="720" w:hanging="720"/>
        <w:rPr>
          <w:rFonts w:eastAsia="Times New Roman" w:cs="Times New Roman"/>
          <w:color w:val="000000"/>
        </w:rPr>
      </w:pPr>
      <w:hyperlink r:id="rId35" w:history="1">
        <w:r w:rsidRPr="007009B4">
          <w:rPr>
            <w:rFonts w:eastAsia="Times New Roman" w:cs="Times New Roman"/>
            <w:color w:val="000000"/>
            <w:sz w:val="22"/>
            <w:szCs w:val="22"/>
          </w:rPr>
          <w:t>Abd El-Kafy, E.M., El-Basatiny, H.M.Y.M., 2014. Effect of Postural Balance Training on Gait Parameters in Children with Cerebral Palsy. Am. J. Phys. Med. Rehabil. 93, 938. https://doi.org/10.1097/PHM.0000000000000109</w:t>
        </w:r>
      </w:hyperlink>
    </w:p>
    <w:p w:rsidR="00497799" w:rsidRPr="007009B4" w:rsidRDefault="00497799" w:rsidP="00497799">
      <w:pPr>
        <w:spacing w:line="360" w:lineRule="auto"/>
        <w:ind w:left="720" w:hanging="720"/>
        <w:rPr>
          <w:rFonts w:eastAsia="Times New Roman" w:cs="Times New Roman"/>
          <w:color w:val="000000"/>
        </w:rPr>
      </w:pPr>
      <w:hyperlink r:id="rId36" w:history="1">
        <w:r w:rsidRPr="007009B4">
          <w:rPr>
            <w:rFonts w:eastAsia="Times New Roman" w:cs="Times New Roman"/>
            <w:color w:val="000000"/>
            <w:sz w:val="22"/>
            <w:szCs w:val="22"/>
          </w:rPr>
          <w:t>Alderson, L.M., Joksaite, S.X., Kemp, J., Main, E., Watson, T., Platt, F.M., Cortina-Borja, M., 2019. Age-related gait standards for healthy children and young people: the GOS-ICH paediatric gait centiles. Arch. Dis. Child. 104, 755–760. https://doi.org/10.1136/archdischild-2018-316311</w:t>
        </w:r>
      </w:hyperlink>
    </w:p>
    <w:p w:rsidR="00497799" w:rsidRPr="007009B4" w:rsidRDefault="00497799" w:rsidP="00497799">
      <w:pPr>
        <w:spacing w:line="360" w:lineRule="auto"/>
        <w:ind w:left="720" w:hanging="720"/>
        <w:rPr>
          <w:rFonts w:eastAsia="Times New Roman" w:cs="Times New Roman"/>
          <w:color w:val="000000"/>
        </w:rPr>
      </w:pPr>
      <w:hyperlink r:id="rId37" w:history="1">
        <w:r w:rsidRPr="007009B4">
          <w:rPr>
            <w:rFonts w:eastAsia="Times New Roman" w:cs="Times New Roman"/>
            <w:color w:val="000000"/>
            <w:sz w:val="22"/>
            <w:szCs w:val="22"/>
          </w:rPr>
          <w:t>Andreopoulou, G., Mahad, D.J., Mercer, T.H., van der Linden, M.L., 2019. Test-retest reliability and minimal detectable change of ankle kinematics and spatiotemporal parameters in MS population. Gait Posture 74, 218–222. https://doi.org/10.1016/j.gaitpost.2019.09.015</w:t>
        </w:r>
      </w:hyperlink>
    </w:p>
    <w:p w:rsidR="00497799" w:rsidRPr="007009B4" w:rsidRDefault="00497799" w:rsidP="00497799">
      <w:pPr>
        <w:spacing w:line="360" w:lineRule="auto"/>
        <w:ind w:left="720" w:hanging="720"/>
        <w:rPr>
          <w:rFonts w:eastAsia="Times New Roman" w:cs="Times New Roman"/>
          <w:color w:val="000000"/>
        </w:rPr>
      </w:pPr>
      <w:hyperlink r:id="rId38" w:history="1">
        <w:r w:rsidRPr="007009B4">
          <w:rPr>
            <w:rFonts w:eastAsia="Times New Roman" w:cs="Times New Roman"/>
            <w:color w:val="000000"/>
            <w:sz w:val="22"/>
            <w:szCs w:val="22"/>
          </w:rPr>
          <w:t>Bland, J.M., Altman, DouglasG., 1986. STATISTICAL METHODS FOR ASSESSING AGREEMENT BETWEEN TWO METHODS OF CLINICAL MEASUREMENT. The Lancet, Originally published as Volume 1, Issue 8476 327, 307–310. https://doi.org/10.1016/S0140-6736(86)90837-8</w:t>
        </w:r>
      </w:hyperlink>
    </w:p>
    <w:p w:rsidR="00497799" w:rsidRPr="007009B4" w:rsidRDefault="00497799" w:rsidP="00497799">
      <w:pPr>
        <w:spacing w:line="360" w:lineRule="auto"/>
        <w:ind w:left="720" w:hanging="720"/>
        <w:rPr>
          <w:rFonts w:eastAsia="Times New Roman" w:cs="Times New Roman"/>
          <w:color w:val="000000"/>
        </w:rPr>
      </w:pPr>
      <w:hyperlink r:id="rId39" w:history="1">
        <w:r w:rsidRPr="007009B4">
          <w:rPr>
            <w:rFonts w:eastAsia="Times New Roman" w:cs="Times New Roman"/>
            <w:color w:val="000000"/>
            <w:sz w:val="22"/>
            <w:szCs w:val="22"/>
          </w:rPr>
          <w:t>Cleland, B.T., Arshad, H., Madhavan, S., 2019. Concurrent validity of the GAITRite electronic walkway and the 10-m walk test for measurement of walking speed after stroke. Gait Posture 68, 458–460. https://doi.org/10.1016/j.gaitpost.2018.12.035</w:t>
        </w:r>
      </w:hyperlink>
    </w:p>
    <w:p w:rsidR="00497799" w:rsidRPr="007009B4" w:rsidRDefault="00497799" w:rsidP="00497799">
      <w:pPr>
        <w:spacing w:line="360" w:lineRule="auto"/>
        <w:ind w:left="720" w:hanging="720"/>
        <w:rPr>
          <w:rFonts w:eastAsia="Times New Roman" w:cs="Times New Roman"/>
          <w:color w:val="000000"/>
        </w:rPr>
      </w:pPr>
      <w:hyperlink r:id="rId40" w:history="1">
        <w:r w:rsidRPr="007009B4">
          <w:rPr>
            <w:rFonts w:eastAsia="Times New Roman" w:cs="Times New Roman"/>
            <w:color w:val="000000"/>
            <w:sz w:val="22"/>
            <w:szCs w:val="22"/>
          </w:rPr>
          <w:t>Darweesh, S.K.L., Licher, S., Wolters, F.J., Koudstaal, P.J., Ikram, M.K., Ikram, M.A., 2019. Quantitative gait, cognitive decline, and incident dementia: The Rotterdam Study. Alzheimers Dement. 15, 1264–1273. https://doi.org/10.1016/j.jalz.2019.03.013</w:t>
        </w:r>
      </w:hyperlink>
    </w:p>
    <w:p w:rsidR="00497799" w:rsidRPr="007009B4" w:rsidRDefault="00497799" w:rsidP="00497799">
      <w:pPr>
        <w:spacing w:line="360" w:lineRule="auto"/>
        <w:ind w:left="720" w:hanging="720"/>
        <w:rPr>
          <w:rFonts w:eastAsia="Times New Roman" w:cs="Times New Roman"/>
          <w:color w:val="000000"/>
        </w:rPr>
      </w:pPr>
      <w:hyperlink r:id="rId41" w:history="1">
        <w:r w:rsidRPr="007009B4">
          <w:rPr>
            <w:rFonts w:eastAsia="Times New Roman" w:cs="Times New Roman"/>
            <w:color w:val="000000"/>
            <w:sz w:val="22"/>
            <w:szCs w:val="22"/>
          </w:rPr>
          <w:t>Elbaz, A., Mor, A., Segal, G., Debi, R., Shazar, N., Herman, A., 2014. Novel classification of knee osteoarthritis severity based on spatiotemporal gait analysis. Osteoarthritis Cartilage 22, 457–463. https://doi.org/10.1016/j.joca.2013.12.015</w:t>
        </w:r>
      </w:hyperlink>
    </w:p>
    <w:p w:rsidR="00497799" w:rsidRPr="007009B4" w:rsidRDefault="00497799" w:rsidP="00497799">
      <w:pPr>
        <w:spacing w:line="360" w:lineRule="auto"/>
        <w:ind w:left="720" w:hanging="720"/>
        <w:rPr>
          <w:rFonts w:eastAsia="Times New Roman" w:cs="Times New Roman"/>
          <w:color w:val="000000"/>
        </w:rPr>
      </w:pPr>
      <w:hyperlink r:id="rId42" w:history="1">
        <w:r w:rsidRPr="007009B4">
          <w:rPr>
            <w:rFonts w:eastAsia="Times New Roman" w:cs="Times New Roman"/>
            <w:color w:val="000000"/>
            <w:sz w:val="22"/>
            <w:szCs w:val="22"/>
          </w:rPr>
          <w:t>Fernandes, R., Armada-da-Silva, P., Pool-Goudaazward, A., Moniz-Pereira, V., Veloso, A.P., 2015. Test–retest reliability and minimal detectable change of three-dimensional gait analysis in chronic low back pain patients. Gait Posture 42, 491–497. https://doi.org/10.1016/j.gaitpost.2015.08.002</w:t>
        </w:r>
      </w:hyperlink>
    </w:p>
    <w:p w:rsidR="00497799" w:rsidRPr="007009B4" w:rsidRDefault="00497799" w:rsidP="00497799">
      <w:pPr>
        <w:spacing w:line="360" w:lineRule="auto"/>
        <w:ind w:left="720" w:hanging="720"/>
        <w:rPr>
          <w:rFonts w:eastAsia="Times New Roman" w:cs="Times New Roman"/>
          <w:color w:val="000000"/>
        </w:rPr>
      </w:pPr>
      <w:hyperlink r:id="rId43" w:history="1">
        <w:r w:rsidRPr="007009B4">
          <w:rPr>
            <w:rFonts w:eastAsia="Times New Roman" w:cs="Times New Roman"/>
            <w:color w:val="000000"/>
            <w:sz w:val="22"/>
            <w:szCs w:val="22"/>
          </w:rPr>
          <w:t>Fung, J., Richards, C.L., Malouin, F., McFadyen, B.J., Lamontagne, A., 2006. A Treadmill and Motion Coupled Virtual Reality System for Gait Training Post-Stroke. Cyberpsychol. Behav. 9, 157–162. https://doi.org/10.1089/cpb.2006.9.157</w:t>
        </w:r>
      </w:hyperlink>
    </w:p>
    <w:p w:rsidR="00497799" w:rsidRPr="007009B4" w:rsidRDefault="00497799" w:rsidP="00497799">
      <w:pPr>
        <w:spacing w:line="360" w:lineRule="auto"/>
        <w:ind w:left="720" w:hanging="720"/>
        <w:rPr>
          <w:rFonts w:eastAsia="Times New Roman" w:cs="Times New Roman"/>
          <w:color w:val="000000"/>
        </w:rPr>
      </w:pPr>
      <w:hyperlink r:id="rId44" w:history="1">
        <w:r w:rsidRPr="007009B4">
          <w:rPr>
            <w:rFonts w:eastAsia="Times New Roman" w:cs="Times New Roman"/>
            <w:color w:val="000000"/>
            <w:sz w:val="22"/>
            <w:szCs w:val="22"/>
          </w:rPr>
          <w:t>Geiger, M., Supiot, A., Pradon, D., Do, M.-C., Zory, R., Roche, N., 2019. Minimal detectable change of kinematic and spatiotemporal parameters in patients with chronic stroke across three sessions of gait analysis. Hum. Mov. Sci. 64, 101–107. https://doi.org/10.1016/j.humov.2019.01.011</w:t>
        </w:r>
      </w:hyperlink>
    </w:p>
    <w:p w:rsidR="00497799" w:rsidRPr="007009B4" w:rsidRDefault="00497799" w:rsidP="00497799">
      <w:pPr>
        <w:spacing w:line="360" w:lineRule="auto"/>
        <w:ind w:left="720" w:hanging="720"/>
        <w:rPr>
          <w:rFonts w:eastAsia="Times New Roman" w:cs="Times New Roman"/>
          <w:color w:val="000000"/>
        </w:rPr>
      </w:pPr>
      <w:hyperlink r:id="rId45" w:history="1">
        <w:r w:rsidRPr="007009B4">
          <w:rPr>
            <w:rFonts w:eastAsia="Times New Roman" w:cs="Times New Roman"/>
            <w:color w:val="000000"/>
            <w:sz w:val="22"/>
            <w:szCs w:val="22"/>
          </w:rPr>
          <w:t>Givon, U., Zeilig, G., Achiron, A., 2009. Gait analysis in multiple sclerosis: Characterization of temporal–spatial parameters using GAITRite functional ambulation system. Gait Posture 29, 138–142. https://doi.org/10.1016/j.gaitpost.2008.07.011</w:t>
        </w:r>
      </w:hyperlink>
    </w:p>
    <w:p w:rsidR="00497799" w:rsidRPr="007009B4" w:rsidRDefault="00497799" w:rsidP="00497799">
      <w:pPr>
        <w:spacing w:line="360" w:lineRule="auto"/>
        <w:ind w:left="720" w:hanging="720"/>
        <w:rPr>
          <w:rFonts w:eastAsia="Times New Roman" w:cs="Times New Roman"/>
          <w:color w:val="000000"/>
        </w:rPr>
      </w:pPr>
      <w:hyperlink r:id="rId46" w:history="1">
        <w:r w:rsidRPr="007009B4">
          <w:rPr>
            <w:rFonts w:eastAsia="Times New Roman" w:cs="Times New Roman"/>
            <w:color w:val="000000"/>
            <w:sz w:val="22"/>
            <w:szCs w:val="22"/>
          </w:rPr>
          <w:t>Hollman, J.H., McDade, E.M., Petersen, R.C., 2011. Normative spatiotemporal gait parameters in older adults. Gait Posture 34, 111–118. https://doi.org/10.1016/j.gaitpost.2011.03.024</w:t>
        </w:r>
      </w:hyperlink>
    </w:p>
    <w:p w:rsidR="00497799" w:rsidRPr="007009B4" w:rsidRDefault="00497799" w:rsidP="00497799">
      <w:pPr>
        <w:spacing w:line="360" w:lineRule="auto"/>
        <w:ind w:left="720" w:hanging="720"/>
        <w:rPr>
          <w:rFonts w:eastAsia="Times New Roman" w:cs="Times New Roman"/>
          <w:color w:val="000000"/>
        </w:rPr>
      </w:pPr>
      <w:hyperlink r:id="rId47" w:history="1">
        <w:r w:rsidRPr="007009B4">
          <w:rPr>
            <w:rFonts w:eastAsia="Times New Roman" w:cs="Times New Roman"/>
            <w:color w:val="000000"/>
            <w:sz w:val="22"/>
            <w:szCs w:val="22"/>
          </w:rPr>
          <w:t>Kanko, R., Laende, E., Davis, E., Selbie, W.S., Deluzio, K.J., 2020a. Concurrent assessment of gait kinematics using marker-based and markerless motion capture. bioRxiv 2020.12.10.420075. https://doi.org/10.1101/2020.12.10.420075</w:t>
        </w:r>
      </w:hyperlink>
    </w:p>
    <w:p w:rsidR="00497799" w:rsidRPr="007009B4" w:rsidRDefault="00497799" w:rsidP="00497799">
      <w:pPr>
        <w:spacing w:line="360" w:lineRule="auto"/>
        <w:ind w:left="720" w:hanging="720"/>
        <w:rPr>
          <w:rFonts w:eastAsia="Times New Roman" w:cs="Times New Roman"/>
          <w:color w:val="000000"/>
        </w:rPr>
      </w:pPr>
      <w:hyperlink r:id="rId48" w:history="1">
        <w:r w:rsidRPr="007009B4">
          <w:rPr>
            <w:rFonts w:eastAsia="Times New Roman" w:cs="Times New Roman"/>
            <w:color w:val="000000"/>
            <w:sz w:val="22"/>
            <w:szCs w:val="22"/>
          </w:rPr>
          <w:t>Kanko, R., Laende, E., Selbie, S., Deluzio, K., 2020b. Inter-session repeatability of Theia3D markerless motion capture gait kinematics. bioRxiv 2020.06.23.155358. https://doi.org/10.1101/2020.06.23.155358</w:t>
        </w:r>
      </w:hyperlink>
    </w:p>
    <w:p w:rsidR="00497799" w:rsidRPr="007009B4" w:rsidRDefault="00497799" w:rsidP="00497799">
      <w:pPr>
        <w:spacing w:line="360" w:lineRule="auto"/>
        <w:ind w:left="720" w:hanging="720"/>
        <w:rPr>
          <w:rFonts w:eastAsia="Times New Roman" w:cs="Times New Roman"/>
          <w:color w:val="000000"/>
        </w:rPr>
      </w:pPr>
      <w:hyperlink r:id="rId49" w:history="1">
        <w:r w:rsidRPr="007009B4">
          <w:rPr>
            <w:rFonts w:eastAsia="Times New Roman" w:cs="Times New Roman"/>
            <w:color w:val="000000"/>
            <w:sz w:val="22"/>
            <w:szCs w:val="22"/>
          </w:rPr>
          <w:t>Lemke, M.R., Wendorff, T., Mieth, B., Buhl, K., Linnemann, M., 2000. Spatiotemporal gait patterns during over ground locomotion in major depression compared with healthy controls. J. Psychiatr. Res. 34, 277–283. https://doi.org/10.1016/S0022-3956(00)00017-0</w:t>
        </w:r>
      </w:hyperlink>
    </w:p>
    <w:p w:rsidR="00497799" w:rsidRPr="007009B4" w:rsidRDefault="00497799" w:rsidP="00497799">
      <w:pPr>
        <w:spacing w:line="360" w:lineRule="auto"/>
        <w:ind w:left="720" w:hanging="720"/>
        <w:rPr>
          <w:rFonts w:eastAsia="Times New Roman" w:cs="Times New Roman"/>
          <w:color w:val="000000"/>
        </w:rPr>
      </w:pPr>
      <w:hyperlink r:id="rId50" w:history="1">
        <w:r w:rsidRPr="007009B4">
          <w:rPr>
            <w:rFonts w:eastAsia="Times New Roman" w:cs="Times New Roman"/>
            <w:color w:val="000000"/>
            <w:sz w:val="22"/>
            <w:szCs w:val="22"/>
          </w:rPr>
          <w:t>Levin, I., Lewek, M.D., Giuliani, C., Faldowski, R., Thorpe, D.E., 2019. Test-retest reliability and minimal detectable change for measures of balance and gait in adults with cerebral palsy. Gait Posture 72, 96–101. https://doi.org/10.1016/j.gaitpost.2019.05.028</w:t>
        </w:r>
      </w:hyperlink>
    </w:p>
    <w:p w:rsidR="00497799" w:rsidRPr="007009B4" w:rsidRDefault="00497799" w:rsidP="00497799">
      <w:pPr>
        <w:spacing w:line="360" w:lineRule="auto"/>
        <w:ind w:left="720" w:hanging="720"/>
        <w:rPr>
          <w:rFonts w:eastAsia="Times New Roman" w:cs="Times New Roman"/>
          <w:color w:val="000000"/>
        </w:rPr>
      </w:pPr>
      <w:hyperlink r:id="rId51" w:history="1">
        <w:r w:rsidRPr="007009B4">
          <w:rPr>
            <w:rFonts w:eastAsia="Times New Roman" w:cs="Times New Roman"/>
            <w:color w:val="000000"/>
            <w:sz w:val="22"/>
            <w:szCs w:val="22"/>
          </w:rPr>
          <w:t>Mathis, M.W., Mathis, A., 2020. Deep learning tools for the measurement of animal behavior in neuroscience. Curr. Opin. Neurobiol., Neurobiology of Behavior 60, 1–11. https://doi.org/10.1016/j.conb.2019.10.008</w:t>
        </w:r>
      </w:hyperlink>
    </w:p>
    <w:p w:rsidR="00497799" w:rsidRPr="007009B4" w:rsidRDefault="00497799" w:rsidP="00497799">
      <w:pPr>
        <w:spacing w:line="360" w:lineRule="auto"/>
        <w:ind w:left="720" w:hanging="720"/>
        <w:rPr>
          <w:rFonts w:eastAsia="Times New Roman" w:cs="Times New Roman"/>
          <w:color w:val="000000"/>
        </w:rPr>
      </w:pPr>
      <w:hyperlink r:id="rId52" w:history="1">
        <w:r w:rsidRPr="007009B4">
          <w:rPr>
            <w:rFonts w:eastAsia="Times New Roman" w:cs="Times New Roman"/>
            <w:color w:val="000000"/>
            <w:sz w:val="22"/>
            <w:szCs w:val="22"/>
          </w:rPr>
          <w:t>McGraw, K.O., Wong, S.P., 1996. Forming inferences about some intraclass correlation coefficients. Psychol. Methods 1, 30–46. https://doi.org/10.1037/1082-989X.1.1.30</w:t>
        </w:r>
      </w:hyperlink>
    </w:p>
    <w:p w:rsidR="00497799" w:rsidRPr="007009B4" w:rsidRDefault="00497799" w:rsidP="00497799">
      <w:pPr>
        <w:spacing w:line="360" w:lineRule="auto"/>
        <w:ind w:left="720" w:hanging="720"/>
        <w:rPr>
          <w:rFonts w:eastAsia="Times New Roman" w:cs="Times New Roman"/>
          <w:color w:val="000000"/>
        </w:rPr>
      </w:pPr>
      <w:hyperlink r:id="rId53" w:history="1">
        <w:r w:rsidRPr="007009B4">
          <w:rPr>
            <w:rFonts w:eastAsia="Times New Roman" w:cs="Times New Roman"/>
            <w:color w:val="000000"/>
            <w:sz w:val="22"/>
            <w:szCs w:val="22"/>
          </w:rPr>
          <w:t>Mondal, B., Choudhury, S., Banerjee, R., Chatterjee, K., Ghosal, S., Anand, S.S., Kumar, H., 2019. Analysis of gait in Parkinson’s disease reflecting the effect of l-DOPA. Ann. Mov. Disord. 2, 21. https://doi.org/10.4103/AOMD.AOMD_19_18</w:t>
        </w:r>
      </w:hyperlink>
    </w:p>
    <w:p w:rsidR="00497799" w:rsidRPr="007009B4" w:rsidRDefault="00497799" w:rsidP="00497799">
      <w:pPr>
        <w:spacing w:line="360" w:lineRule="auto"/>
        <w:ind w:left="720" w:hanging="720"/>
        <w:rPr>
          <w:rFonts w:eastAsia="Times New Roman" w:cs="Times New Roman"/>
          <w:color w:val="000000"/>
        </w:rPr>
      </w:pPr>
      <w:hyperlink r:id="rId54" w:history="1">
        <w:r w:rsidRPr="007009B4">
          <w:rPr>
            <w:rFonts w:eastAsia="Times New Roman" w:cs="Times New Roman"/>
            <w:color w:val="000000"/>
            <w:sz w:val="22"/>
            <w:szCs w:val="22"/>
          </w:rPr>
          <w:t>Morris, M.E., Huxham, F., McGinley, J., Dodd, K., Iansek, R., 2001. The biomechanics and motor control of gait in Parkinson disease. Clin. Biomech. 16, 459–470. https://doi.org/10.1016/S0268-0033(01)00035-3</w:t>
        </w:r>
      </w:hyperlink>
    </w:p>
    <w:p w:rsidR="00497799" w:rsidRPr="007009B4" w:rsidRDefault="00497799" w:rsidP="00497799">
      <w:pPr>
        <w:spacing w:line="360" w:lineRule="auto"/>
        <w:ind w:left="720" w:hanging="720"/>
        <w:rPr>
          <w:rFonts w:eastAsia="Times New Roman" w:cs="Times New Roman"/>
          <w:color w:val="000000"/>
        </w:rPr>
      </w:pPr>
      <w:hyperlink r:id="rId55" w:history="1">
        <w:r w:rsidRPr="007009B4">
          <w:rPr>
            <w:rFonts w:eastAsia="Times New Roman" w:cs="Times New Roman"/>
            <w:color w:val="000000"/>
            <w:sz w:val="22"/>
            <w:szCs w:val="22"/>
          </w:rPr>
          <w:t>Nair, P.M., Hornby T., G., Behrman, A.L., 2012. Minimal Detectable Change for Spatial and Temporal Measurements of Gait After Incomplete Spinal Cord Injury. Top. Spinal Cord Inj. Rehabil. 18, 273–281. https://doi.org/10.1310/sci1803-273</w:t>
        </w:r>
      </w:hyperlink>
    </w:p>
    <w:p w:rsidR="00497799" w:rsidRPr="007009B4" w:rsidRDefault="00497799" w:rsidP="00497799">
      <w:pPr>
        <w:spacing w:line="360" w:lineRule="auto"/>
        <w:ind w:left="720" w:hanging="720"/>
        <w:rPr>
          <w:rFonts w:eastAsia="Times New Roman" w:cs="Times New Roman"/>
          <w:color w:val="000000"/>
        </w:rPr>
      </w:pPr>
      <w:hyperlink r:id="rId56" w:history="1">
        <w:r w:rsidRPr="007009B4">
          <w:rPr>
            <w:rFonts w:eastAsia="Times New Roman" w:cs="Times New Roman"/>
            <w:color w:val="000000"/>
            <w:sz w:val="22"/>
            <w:szCs w:val="22"/>
          </w:rPr>
          <w:t>Novotna, K., Rusz, J., Kubala Havrdova, E., Lizrova Preiningerova, J., 2019. Why patients with multiple sclerosis perceive improvement of gait during treatment with natalizumab? J. Neural Transm. 126, 731–737. https://doi.org/10.1007/s00702-019-02013-z</w:t>
        </w:r>
      </w:hyperlink>
    </w:p>
    <w:p w:rsidR="00497799" w:rsidRPr="007009B4" w:rsidRDefault="00497799" w:rsidP="00497799">
      <w:pPr>
        <w:spacing w:line="360" w:lineRule="auto"/>
        <w:ind w:left="720" w:hanging="720"/>
        <w:rPr>
          <w:rFonts w:eastAsia="Times New Roman" w:cs="Times New Roman"/>
          <w:color w:val="000000"/>
        </w:rPr>
      </w:pPr>
      <w:hyperlink r:id="rId57" w:history="1">
        <w:r w:rsidRPr="007009B4">
          <w:rPr>
            <w:rFonts w:eastAsia="Times New Roman" w:cs="Times New Roman"/>
            <w:color w:val="000000"/>
            <w:sz w:val="22"/>
            <w:szCs w:val="22"/>
          </w:rPr>
          <w:t xml:space="preserve">Patterson, S.L., Rodgers, M.M., </w:t>
        </w:r>
        <w:proofErr w:type="spellStart"/>
        <w:r w:rsidRPr="007009B4">
          <w:rPr>
            <w:rFonts w:eastAsia="Times New Roman" w:cs="Times New Roman"/>
            <w:color w:val="000000"/>
            <w:sz w:val="22"/>
            <w:szCs w:val="22"/>
          </w:rPr>
          <w:t>Macko</w:t>
        </w:r>
        <w:proofErr w:type="spellEnd"/>
        <w:r w:rsidRPr="007009B4">
          <w:rPr>
            <w:rFonts w:eastAsia="Times New Roman" w:cs="Times New Roman"/>
            <w:color w:val="000000"/>
            <w:sz w:val="22"/>
            <w:szCs w:val="22"/>
          </w:rPr>
          <w:t xml:space="preserve">, R.F., Forrester, L.W., 2008. Effect of treadmill exercise training on spatial and temporal gait parameters in subjects with chronic stroke: A preliminary report. J. </w:t>
        </w:r>
        <w:proofErr w:type="spellStart"/>
        <w:r w:rsidRPr="007009B4">
          <w:rPr>
            <w:rFonts w:eastAsia="Times New Roman" w:cs="Times New Roman"/>
            <w:color w:val="000000"/>
            <w:sz w:val="22"/>
            <w:szCs w:val="22"/>
          </w:rPr>
          <w:t>Rehabil</w:t>
        </w:r>
        <w:proofErr w:type="spellEnd"/>
        <w:r w:rsidRPr="007009B4">
          <w:rPr>
            <w:rFonts w:eastAsia="Times New Roman" w:cs="Times New Roman"/>
            <w:color w:val="000000"/>
            <w:sz w:val="22"/>
            <w:szCs w:val="22"/>
          </w:rPr>
          <w:t>. Res. Dev. 45, 221–228.</w:t>
        </w:r>
      </w:hyperlink>
    </w:p>
    <w:p w:rsidR="00497799" w:rsidRPr="007009B4" w:rsidRDefault="00497799" w:rsidP="00497799">
      <w:pPr>
        <w:spacing w:line="360" w:lineRule="auto"/>
        <w:ind w:left="720" w:hanging="720"/>
        <w:rPr>
          <w:rFonts w:eastAsia="Times New Roman" w:cs="Times New Roman"/>
          <w:color w:val="000000"/>
        </w:rPr>
      </w:pPr>
      <w:hyperlink r:id="rId58" w:history="1">
        <w:proofErr w:type="spellStart"/>
        <w:r w:rsidRPr="007009B4">
          <w:rPr>
            <w:rFonts w:eastAsia="Times New Roman" w:cs="Times New Roman"/>
            <w:color w:val="000000"/>
            <w:sz w:val="22"/>
            <w:szCs w:val="22"/>
          </w:rPr>
          <w:t>Portney</w:t>
        </w:r>
        <w:proofErr w:type="spellEnd"/>
        <w:r w:rsidRPr="007009B4">
          <w:rPr>
            <w:rFonts w:eastAsia="Times New Roman" w:cs="Times New Roman"/>
            <w:color w:val="000000"/>
            <w:sz w:val="22"/>
            <w:szCs w:val="22"/>
          </w:rPr>
          <w:t>, L.G., Watkins, M.P., 2009. Foundations of Clinical Research: Applications to Practice. Pearson/Prentice Hall, Upper Saddle River, NJ.</w:t>
        </w:r>
      </w:hyperlink>
    </w:p>
    <w:p w:rsidR="00497799" w:rsidRPr="007009B4" w:rsidRDefault="00497799" w:rsidP="00497799">
      <w:pPr>
        <w:spacing w:line="360" w:lineRule="auto"/>
        <w:ind w:left="720" w:hanging="720"/>
        <w:rPr>
          <w:rFonts w:eastAsia="Times New Roman" w:cs="Times New Roman"/>
          <w:color w:val="000000"/>
        </w:rPr>
      </w:pPr>
      <w:hyperlink r:id="rId59" w:history="1">
        <w:r w:rsidRPr="007009B4">
          <w:rPr>
            <w:rFonts w:eastAsia="Times New Roman" w:cs="Times New Roman"/>
            <w:color w:val="000000"/>
            <w:sz w:val="22"/>
            <w:szCs w:val="22"/>
          </w:rPr>
          <w:t>Smania, N., Bonetti, P., Gandolfi, M., Cosentino, A., Waldner, A., Hesse, S., Werner, C., Bisoffi, G., Geroin, C., Munari, D., 2011. Improved Gait After Repetitive Locomotor Training in Children with Cerebral Palsy. Am. J. Phys. Med. Rehabil. 90, 137. https://doi.org/10.1097/PHM.0b013e318201741e</w:t>
        </w:r>
      </w:hyperlink>
    </w:p>
    <w:p w:rsidR="00497799" w:rsidRPr="007009B4" w:rsidRDefault="00497799" w:rsidP="00497799">
      <w:pPr>
        <w:spacing w:line="360" w:lineRule="auto"/>
        <w:ind w:left="720" w:hanging="720"/>
        <w:rPr>
          <w:rFonts w:eastAsia="Times New Roman" w:cs="Times New Roman"/>
          <w:color w:val="000000"/>
        </w:rPr>
      </w:pPr>
      <w:hyperlink r:id="rId60" w:history="1">
        <w:r w:rsidRPr="007009B4">
          <w:rPr>
            <w:rFonts w:eastAsia="Times New Roman" w:cs="Times New Roman"/>
            <w:color w:val="000000"/>
            <w:sz w:val="22"/>
            <w:szCs w:val="22"/>
          </w:rPr>
          <w:t>Toro, B., Nester, C., Farren, P., 2003. A review of observational gait assessment in clinical practice. Physiother. Theory Pract. 19, 137–149. https://doi.org/10.1080/09593980307964</w:t>
        </w:r>
      </w:hyperlink>
    </w:p>
    <w:p w:rsidR="00497799" w:rsidRPr="007009B4" w:rsidRDefault="00497799" w:rsidP="00497799">
      <w:pPr>
        <w:spacing w:line="360" w:lineRule="auto"/>
        <w:ind w:left="720" w:hanging="720"/>
        <w:rPr>
          <w:rFonts w:eastAsia="Times New Roman" w:cs="Times New Roman"/>
          <w:color w:val="000000"/>
        </w:rPr>
      </w:pPr>
      <w:hyperlink r:id="rId61" w:history="1">
        <w:r w:rsidRPr="007009B4">
          <w:rPr>
            <w:rFonts w:eastAsia="Times New Roman" w:cs="Times New Roman"/>
            <w:color w:val="000000"/>
            <w:sz w:val="22"/>
            <w:szCs w:val="22"/>
          </w:rPr>
          <w:t>Vallabhajosula, S., Humphrey, S.K., Cook, A.J., Freund, J.E., 2019. Concurrent Validity of the Zeno Walkway for Measuring Spatiotemporal Gait Parameters in Older Adults. J. Geriatr. Phys. Ther. 42, E42. https://doi.org/10.1519/JPT.0000000000000168</w:t>
        </w:r>
      </w:hyperlink>
    </w:p>
    <w:p w:rsidR="00497799" w:rsidRPr="007009B4" w:rsidRDefault="00497799" w:rsidP="00497799">
      <w:pPr>
        <w:spacing w:line="360" w:lineRule="auto"/>
        <w:ind w:left="720" w:hanging="720"/>
        <w:rPr>
          <w:rFonts w:eastAsia="Times New Roman" w:cs="Times New Roman"/>
          <w:color w:val="000000"/>
        </w:rPr>
      </w:pPr>
      <w:hyperlink r:id="rId62" w:history="1">
        <w:r w:rsidRPr="007009B4">
          <w:rPr>
            <w:rFonts w:eastAsia="Times New Roman" w:cs="Times New Roman"/>
            <w:color w:val="000000"/>
            <w:sz w:val="22"/>
            <w:szCs w:val="22"/>
          </w:rPr>
          <w:t>Vitale, C., Agosti, V., Avella, D., Santangelo, G., Amboni, M., Rucco, R., Barone, P., Corato, F., Sorrentino, G., 2012. Effect of Global Postural Rehabilitation program on spatiotemporal gait parameters of parkinsonian patients: a three-dimensional motion analysis study. Neurol. Sci. 33, 1337–1343. https://doi.org/10.1007/s10072-012-1202-y</w:t>
        </w:r>
      </w:hyperlink>
    </w:p>
    <w:p w:rsidR="00497799" w:rsidRPr="007009B4" w:rsidRDefault="00497799" w:rsidP="00497799">
      <w:pPr>
        <w:spacing w:line="360" w:lineRule="auto"/>
        <w:ind w:left="720" w:hanging="720"/>
        <w:rPr>
          <w:rFonts w:eastAsia="Times New Roman" w:cs="Times New Roman"/>
          <w:color w:val="000000"/>
        </w:rPr>
      </w:pPr>
      <w:hyperlink r:id="rId63" w:history="1">
        <w:r w:rsidRPr="007009B4">
          <w:rPr>
            <w:rFonts w:eastAsia="Times New Roman" w:cs="Times New Roman"/>
            <w:color w:val="000000"/>
            <w:sz w:val="22"/>
            <w:szCs w:val="22"/>
          </w:rPr>
          <w:t>Wittwer, J.E., Webster, K.E., Hill, K., 2013. Reproducibility of gait variability measures in people with Alzheimer’s disease. Gait Posture 38, 507–510. https://doi.org/10.1016/j.gaitpost.2013.01.021</w:t>
        </w:r>
      </w:hyperlink>
    </w:p>
    <w:p w:rsidR="00497799" w:rsidRPr="00787590" w:rsidRDefault="00497799" w:rsidP="00497799">
      <w:pPr>
        <w:spacing w:line="360" w:lineRule="auto"/>
        <w:ind w:left="720" w:hanging="720"/>
        <w:rPr>
          <w:rFonts w:eastAsia="Times New Roman" w:cs="Times New Roman"/>
        </w:rPr>
      </w:pPr>
      <w:hyperlink r:id="rId64" w:history="1">
        <w:r w:rsidRPr="007009B4">
          <w:rPr>
            <w:rFonts w:eastAsia="Times New Roman" w:cs="Times New Roman"/>
            <w:color w:val="000000"/>
            <w:sz w:val="22"/>
            <w:szCs w:val="22"/>
          </w:rPr>
          <w:t>Zeni, J.A., Richards, J.G., Higginson, J.S., 2008. Two simple methods for determining gait events during treadmill and overground walking using kinematic data. Gait Posture 27, 710–714. https://doi.org/10.1016/j.gaitpost.2007.07.007</w:t>
        </w:r>
      </w:hyperlink>
    </w:p>
    <w:p w:rsidR="00E04C84" w:rsidRDefault="00E04C84"/>
    <w:sectPr w:rsidR="00E04C84" w:rsidSect="005F4DA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356EB4" w:rsidRDefault="00356EB4" w:rsidP="00F34D18">
      <w:r>
        <w:separator/>
      </w:r>
    </w:p>
  </w:endnote>
  <w:endnote w:type="continuationSeparator" w:id="0">
    <w:p w:rsidR="00356EB4" w:rsidRDefault="00356EB4" w:rsidP="00F34D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595554718"/>
      <w:docPartObj>
        <w:docPartGallery w:val="Page Numbers (Bottom of Page)"/>
        <w:docPartUnique/>
      </w:docPartObj>
    </w:sdtPr>
    <w:sdtEndPr>
      <w:rPr>
        <w:rStyle w:val="PageNumber"/>
      </w:rPr>
    </w:sdtEndPr>
    <w:sdtContent>
      <w:p w:rsidR="00572BAC" w:rsidRDefault="00356EB4" w:rsidP="0046120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572BAC" w:rsidRDefault="00356EB4" w:rsidP="00572BA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sz w:val="22"/>
        <w:szCs w:val="22"/>
      </w:rPr>
      <w:id w:val="575248587"/>
      <w:docPartObj>
        <w:docPartGallery w:val="Page Numbers (Bottom of Page)"/>
        <w:docPartUnique/>
      </w:docPartObj>
    </w:sdtPr>
    <w:sdtEndPr>
      <w:rPr>
        <w:rStyle w:val="PageNumber"/>
      </w:rPr>
    </w:sdtEndPr>
    <w:sdtContent>
      <w:p w:rsidR="00572BAC" w:rsidRPr="00F34D18" w:rsidRDefault="00356EB4" w:rsidP="00461203">
        <w:pPr>
          <w:pStyle w:val="Footer"/>
          <w:framePr w:wrap="none" w:vAnchor="text" w:hAnchor="margin" w:xAlign="right" w:y="1"/>
          <w:rPr>
            <w:rStyle w:val="PageNumber"/>
            <w:sz w:val="22"/>
            <w:szCs w:val="22"/>
          </w:rPr>
        </w:pPr>
        <w:r w:rsidRPr="00F34D18">
          <w:rPr>
            <w:rStyle w:val="PageNumber"/>
            <w:sz w:val="22"/>
            <w:szCs w:val="22"/>
          </w:rPr>
          <w:fldChar w:fldCharType="begin"/>
        </w:r>
        <w:r w:rsidRPr="00F34D18">
          <w:rPr>
            <w:rStyle w:val="PageNumber"/>
            <w:sz w:val="22"/>
            <w:szCs w:val="22"/>
          </w:rPr>
          <w:instrText xml:space="preserve"> PAGE </w:instrText>
        </w:r>
        <w:r w:rsidRPr="00F34D18">
          <w:rPr>
            <w:rStyle w:val="PageNumber"/>
            <w:sz w:val="22"/>
            <w:szCs w:val="22"/>
          </w:rPr>
          <w:fldChar w:fldCharType="separate"/>
        </w:r>
        <w:r w:rsidRPr="00F34D18">
          <w:rPr>
            <w:rStyle w:val="PageNumber"/>
            <w:noProof/>
            <w:sz w:val="22"/>
            <w:szCs w:val="22"/>
          </w:rPr>
          <w:t>1</w:t>
        </w:r>
        <w:r w:rsidRPr="00F34D18">
          <w:rPr>
            <w:rStyle w:val="PageNumber"/>
            <w:sz w:val="22"/>
            <w:szCs w:val="22"/>
          </w:rPr>
          <w:fldChar w:fldCharType="end"/>
        </w:r>
      </w:p>
    </w:sdtContent>
  </w:sdt>
  <w:p w:rsidR="00572BAC" w:rsidRPr="00F34D18" w:rsidRDefault="00356EB4" w:rsidP="00572BAC">
    <w:pPr>
      <w:pStyle w:val="Footer"/>
      <w:ind w:right="360"/>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356EB4" w:rsidRDefault="00356EB4" w:rsidP="00F34D18">
      <w:r>
        <w:separator/>
      </w:r>
    </w:p>
  </w:footnote>
  <w:footnote w:type="continuationSeparator" w:id="0">
    <w:p w:rsidR="00356EB4" w:rsidRDefault="00356EB4" w:rsidP="00F34D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7799"/>
    <w:rsid w:val="002647C6"/>
    <w:rsid w:val="00356EB4"/>
    <w:rsid w:val="00497799"/>
    <w:rsid w:val="005F4DA4"/>
    <w:rsid w:val="00636FC1"/>
    <w:rsid w:val="007044DF"/>
    <w:rsid w:val="007D3F77"/>
    <w:rsid w:val="007D47B3"/>
    <w:rsid w:val="00845B5A"/>
    <w:rsid w:val="00A000E0"/>
    <w:rsid w:val="00A10B74"/>
    <w:rsid w:val="00A93844"/>
    <w:rsid w:val="00AC73EE"/>
    <w:rsid w:val="00AE43E0"/>
    <w:rsid w:val="00C24974"/>
    <w:rsid w:val="00CC617B"/>
    <w:rsid w:val="00CD678D"/>
    <w:rsid w:val="00D53F12"/>
    <w:rsid w:val="00D67630"/>
    <w:rsid w:val="00E04C84"/>
    <w:rsid w:val="00F34D1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EA361"/>
  <w15:chartTrackingRefBased/>
  <w15:docId w15:val="{70789CDB-80EE-794E-B879-2D1A90D7A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7799"/>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97799"/>
    <w:pPr>
      <w:spacing w:before="100" w:beforeAutospacing="1" w:after="100" w:afterAutospacing="1"/>
    </w:pPr>
    <w:rPr>
      <w:rFonts w:eastAsia="Times New Roman" w:cs="Times New Roman"/>
    </w:rPr>
  </w:style>
  <w:style w:type="character" w:styleId="Hyperlink">
    <w:name w:val="Hyperlink"/>
    <w:basedOn w:val="DefaultParagraphFont"/>
    <w:uiPriority w:val="99"/>
    <w:unhideWhenUsed/>
    <w:rsid w:val="00497799"/>
    <w:rPr>
      <w:color w:val="0000FF"/>
      <w:u w:val="single"/>
    </w:rPr>
  </w:style>
  <w:style w:type="table" w:styleId="ListTable3">
    <w:name w:val="List Table 3"/>
    <w:basedOn w:val="TableNormal"/>
    <w:uiPriority w:val="48"/>
    <w:rsid w:val="004977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Footer">
    <w:name w:val="footer"/>
    <w:basedOn w:val="Normal"/>
    <w:link w:val="FooterChar"/>
    <w:uiPriority w:val="99"/>
    <w:unhideWhenUsed/>
    <w:rsid w:val="00497799"/>
    <w:pPr>
      <w:tabs>
        <w:tab w:val="center" w:pos="4680"/>
        <w:tab w:val="right" w:pos="9360"/>
      </w:tabs>
    </w:pPr>
  </w:style>
  <w:style w:type="character" w:customStyle="1" w:styleId="FooterChar">
    <w:name w:val="Footer Char"/>
    <w:basedOn w:val="DefaultParagraphFont"/>
    <w:link w:val="Footer"/>
    <w:uiPriority w:val="99"/>
    <w:rsid w:val="00497799"/>
  </w:style>
  <w:style w:type="character" w:styleId="PageNumber">
    <w:name w:val="page number"/>
    <w:basedOn w:val="DefaultParagraphFont"/>
    <w:uiPriority w:val="99"/>
    <w:semiHidden/>
    <w:unhideWhenUsed/>
    <w:rsid w:val="00497799"/>
  </w:style>
  <w:style w:type="paragraph" w:styleId="Header">
    <w:name w:val="header"/>
    <w:basedOn w:val="Normal"/>
    <w:link w:val="HeaderChar"/>
    <w:uiPriority w:val="99"/>
    <w:unhideWhenUsed/>
    <w:rsid w:val="00F34D18"/>
    <w:pPr>
      <w:tabs>
        <w:tab w:val="center" w:pos="4680"/>
        <w:tab w:val="right" w:pos="9360"/>
      </w:tabs>
    </w:pPr>
  </w:style>
  <w:style w:type="character" w:customStyle="1" w:styleId="HeaderChar">
    <w:name w:val="Header Char"/>
    <w:basedOn w:val="DefaultParagraphFont"/>
    <w:link w:val="Header"/>
    <w:uiPriority w:val="99"/>
    <w:rsid w:val="00F34D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26" Type="http://schemas.openxmlformats.org/officeDocument/2006/relationships/footer" Target="footer1.xml"/><Relationship Id="rId21" Type="http://schemas.openxmlformats.org/officeDocument/2006/relationships/hyperlink" Target="https://www.zotero.org/google-docs/?KFWNhK" TargetMode="External"/><Relationship Id="rId34" Type="http://schemas.openxmlformats.org/officeDocument/2006/relationships/hyperlink" Target="https://www.zotero.org/google-docs/?IPcUlY" TargetMode="External"/><Relationship Id="rId42" Type="http://schemas.openxmlformats.org/officeDocument/2006/relationships/hyperlink" Target="https://www.zotero.org/google-docs/?HieEUs" TargetMode="External"/><Relationship Id="rId47" Type="http://schemas.openxmlformats.org/officeDocument/2006/relationships/hyperlink" Target="https://www.zotero.org/google-docs/?HieEUs" TargetMode="External"/><Relationship Id="rId50" Type="http://schemas.openxmlformats.org/officeDocument/2006/relationships/hyperlink" Target="https://www.zotero.org/google-docs/?HieEUs" TargetMode="External"/><Relationship Id="rId55" Type="http://schemas.openxmlformats.org/officeDocument/2006/relationships/hyperlink" Target="https://www.zotero.org/google-docs/?HieEUs" TargetMode="External"/><Relationship Id="rId63" Type="http://schemas.openxmlformats.org/officeDocument/2006/relationships/hyperlink" Target="https://www.zotero.org/google-docs/?HieEUs" TargetMode="External"/><Relationship Id="rId7" Type="http://schemas.openxmlformats.org/officeDocument/2006/relationships/hyperlink" Target="https://www.zotero.org/google-docs/?68ZlGn" TargetMode="External"/><Relationship Id="rId2" Type="http://schemas.openxmlformats.org/officeDocument/2006/relationships/settings" Target="settings.xml"/><Relationship Id="rId16" Type="http://schemas.openxmlformats.org/officeDocument/2006/relationships/hyperlink" Target="https://www.zotero.org/google-docs/?tNVnqs" TargetMode="External"/><Relationship Id="rId29" Type="http://schemas.openxmlformats.org/officeDocument/2006/relationships/hyperlink" Target="https://www.zotero.org/google-docs/?DSP2Dz" TargetMode="External"/><Relationship Id="rId11" Type="http://schemas.openxmlformats.org/officeDocument/2006/relationships/hyperlink" Target="https://www.zotero.org/google-docs/?ri29VH" TargetMode="External"/><Relationship Id="rId24" Type="http://schemas.openxmlformats.org/officeDocument/2006/relationships/image" Target="media/image2.emf"/><Relationship Id="rId32" Type="http://schemas.openxmlformats.org/officeDocument/2006/relationships/hyperlink" Target="https://www.zotero.org/google-docs/?k3S1bq" TargetMode="External"/><Relationship Id="rId37" Type="http://schemas.openxmlformats.org/officeDocument/2006/relationships/hyperlink" Target="https://www.zotero.org/google-docs/?HieEUs" TargetMode="External"/><Relationship Id="rId40" Type="http://schemas.openxmlformats.org/officeDocument/2006/relationships/hyperlink" Target="https://www.zotero.org/google-docs/?HieEUs" TargetMode="External"/><Relationship Id="rId45" Type="http://schemas.openxmlformats.org/officeDocument/2006/relationships/hyperlink" Target="https://www.zotero.org/google-docs/?HieEUs" TargetMode="External"/><Relationship Id="rId53" Type="http://schemas.openxmlformats.org/officeDocument/2006/relationships/hyperlink" Target="https://www.zotero.org/google-docs/?HieEUs" TargetMode="External"/><Relationship Id="rId58" Type="http://schemas.openxmlformats.org/officeDocument/2006/relationships/hyperlink" Target="https://www.zotero.org/google-docs/?HieEUs" TargetMode="External"/><Relationship Id="rId66" Type="http://schemas.openxmlformats.org/officeDocument/2006/relationships/theme" Target="theme/theme1.xml"/><Relationship Id="rId5" Type="http://schemas.openxmlformats.org/officeDocument/2006/relationships/endnotes" Target="endnotes.xml"/><Relationship Id="rId61" Type="http://schemas.openxmlformats.org/officeDocument/2006/relationships/hyperlink" Target="https://www.zotero.org/google-docs/?HieEUs" TargetMode="External"/><Relationship Id="rId19" Type="http://schemas.openxmlformats.org/officeDocument/2006/relationships/hyperlink" Target="https://www.zotero.org/google-docs/?4LT9O2" TargetMode="External"/><Relationship Id="rId14" Type="http://schemas.openxmlformats.org/officeDocument/2006/relationships/hyperlink" Target="https://www.zotero.org/google-docs/?Tufe4u" TargetMode="External"/><Relationship Id="rId22" Type="http://schemas.openxmlformats.org/officeDocument/2006/relationships/hyperlink" Target="https://www.zotero.org/google-docs/?6rQ9J3" TargetMode="External"/><Relationship Id="rId27" Type="http://schemas.openxmlformats.org/officeDocument/2006/relationships/footer" Target="footer2.xml"/><Relationship Id="rId30" Type="http://schemas.openxmlformats.org/officeDocument/2006/relationships/hyperlink" Target="https://www.zotero.org/google-docs/?Wbfdo0" TargetMode="External"/><Relationship Id="rId35" Type="http://schemas.openxmlformats.org/officeDocument/2006/relationships/hyperlink" Target="https://www.zotero.org/google-docs/?HieEUs" TargetMode="External"/><Relationship Id="rId43" Type="http://schemas.openxmlformats.org/officeDocument/2006/relationships/hyperlink" Target="https://www.zotero.org/google-docs/?HieEUs" TargetMode="External"/><Relationship Id="rId48" Type="http://schemas.openxmlformats.org/officeDocument/2006/relationships/hyperlink" Target="https://www.zotero.org/google-docs/?HieEUs" TargetMode="External"/><Relationship Id="rId56" Type="http://schemas.openxmlformats.org/officeDocument/2006/relationships/hyperlink" Target="https://www.zotero.org/google-docs/?HieEUs" TargetMode="External"/><Relationship Id="rId64" Type="http://schemas.openxmlformats.org/officeDocument/2006/relationships/hyperlink" Target="https://www.zotero.org/google-docs/?HieEUs" TargetMode="External"/><Relationship Id="rId8" Type="http://schemas.openxmlformats.org/officeDocument/2006/relationships/hyperlink" Target="https://www.zotero.org/google-docs/?DAKZ3c" TargetMode="External"/><Relationship Id="rId51" Type="http://schemas.openxmlformats.org/officeDocument/2006/relationships/hyperlink" Target="https://www.zotero.org/google-docs/?HieEUs" TargetMode="External"/><Relationship Id="rId3" Type="http://schemas.openxmlformats.org/officeDocument/2006/relationships/webSettings" Target="webSettings.xml"/><Relationship Id="rId12" Type="http://schemas.openxmlformats.org/officeDocument/2006/relationships/hyperlink" Target="https://www.zotero.org/google-docs/?5P4sgG" TargetMode="External"/><Relationship Id="rId17" Type="http://schemas.openxmlformats.org/officeDocument/2006/relationships/hyperlink" Target="https://www.zotero.org/google-docs/?Q4GkMm" TargetMode="External"/><Relationship Id="rId25" Type="http://schemas.openxmlformats.org/officeDocument/2006/relationships/image" Target="media/image3.emf"/><Relationship Id="rId33" Type="http://schemas.openxmlformats.org/officeDocument/2006/relationships/hyperlink" Target="https://www.zotero.org/google-docs/?i6gOjg" TargetMode="External"/><Relationship Id="rId38" Type="http://schemas.openxmlformats.org/officeDocument/2006/relationships/hyperlink" Target="https://www.zotero.org/google-docs/?HieEUs" TargetMode="External"/><Relationship Id="rId46" Type="http://schemas.openxmlformats.org/officeDocument/2006/relationships/hyperlink" Target="https://www.zotero.org/google-docs/?HieEUs" TargetMode="External"/><Relationship Id="rId59" Type="http://schemas.openxmlformats.org/officeDocument/2006/relationships/hyperlink" Target="https://www.zotero.org/google-docs/?HieEUs" TargetMode="External"/><Relationship Id="rId20" Type="http://schemas.openxmlformats.org/officeDocument/2006/relationships/hyperlink" Target="https://www.zotero.org/google-docs/?R47vIZ" TargetMode="External"/><Relationship Id="rId41" Type="http://schemas.openxmlformats.org/officeDocument/2006/relationships/hyperlink" Target="https://www.zotero.org/google-docs/?HieEUs" TargetMode="External"/><Relationship Id="rId54" Type="http://schemas.openxmlformats.org/officeDocument/2006/relationships/hyperlink" Target="https://www.zotero.org/google-docs/?HieEUs" TargetMode="External"/><Relationship Id="rId62" Type="http://schemas.openxmlformats.org/officeDocument/2006/relationships/hyperlink" Target="https://www.zotero.org/google-docs/?HieEUs" TargetMode="External"/><Relationship Id="rId1" Type="http://schemas.openxmlformats.org/officeDocument/2006/relationships/styles" Target="styles.xml"/><Relationship Id="rId6" Type="http://schemas.openxmlformats.org/officeDocument/2006/relationships/hyperlink" Target="https://www.zotero.org/google-docs/?BxwW2n" TargetMode="External"/><Relationship Id="rId15" Type="http://schemas.openxmlformats.org/officeDocument/2006/relationships/hyperlink" Target="https://www.zotero.org/google-docs/?mele9F" TargetMode="External"/><Relationship Id="rId23" Type="http://schemas.openxmlformats.org/officeDocument/2006/relationships/image" Target="media/image1.emf"/><Relationship Id="rId28" Type="http://schemas.openxmlformats.org/officeDocument/2006/relationships/hyperlink" Target="https://www.zotero.org/google-docs/?w0eko4" TargetMode="External"/><Relationship Id="rId36" Type="http://schemas.openxmlformats.org/officeDocument/2006/relationships/hyperlink" Target="https://www.zotero.org/google-docs/?HieEUs" TargetMode="External"/><Relationship Id="rId49" Type="http://schemas.openxmlformats.org/officeDocument/2006/relationships/hyperlink" Target="https://www.zotero.org/google-docs/?HieEUs" TargetMode="External"/><Relationship Id="rId57" Type="http://schemas.openxmlformats.org/officeDocument/2006/relationships/hyperlink" Target="https://www.zotero.org/google-docs/?HieEUs" TargetMode="External"/><Relationship Id="rId10" Type="http://schemas.openxmlformats.org/officeDocument/2006/relationships/hyperlink" Target="https://www.zotero.org/google-docs/?X2qrKc" TargetMode="External"/><Relationship Id="rId31" Type="http://schemas.openxmlformats.org/officeDocument/2006/relationships/hyperlink" Target="https://www.zotero.org/google-docs/?LzToHS" TargetMode="External"/><Relationship Id="rId44" Type="http://schemas.openxmlformats.org/officeDocument/2006/relationships/hyperlink" Target="https://www.zotero.org/google-docs/?HieEUs" TargetMode="External"/><Relationship Id="rId52" Type="http://schemas.openxmlformats.org/officeDocument/2006/relationships/hyperlink" Target="https://www.zotero.org/google-docs/?HieEUs" TargetMode="External"/><Relationship Id="rId60" Type="http://schemas.openxmlformats.org/officeDocument/2006/relationships/hyperlink" Target="https://www.zotero.org/google-docs/?HieEUs" TargetMode="External"/><Relationship Id="rId65"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zotero.org/google-docs/?io3hYS" TargetMode="External"/><Relationship Id="rId13" Type="http://schemas.openxmlformats.org/officeDocument/2006/relationships/hyperlink" Target="https://www.zotero.org/google-docs/?WBAvi5" TargetMode="External"/><Relationship Id="rId18" Type="http://schemas.openxmlformats.org/officeDocument/2006/relationships/hyperlink" Target="https://www.zotero.org/google-docs/?pFAVbn" TargetMode="External"/><Relationship Id="rId39" Type="http://schemas.openxmlformats.org/officeDocument/2006/relationships/hyperlink" Target="https://www.zotero.org/google-docs/?HieE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17</Pages>
  <Words>6098</Words>
  <Characters>34763</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Kanko</dc:creator>
  <cp:keywords/>
  <dc:description/>
  <cp:lastModifiedBy>Robert Kanko</cp:lastModifiedBy>
  <cp:revision>6</cp:revision>
  <dcterms:created xsi:type="dcterms:W3CDTF">2021-01-04T14:56:00Z</dcterms:created>
  <dcterms:modified xsi:type="dcterms:W3CDTF">2021-01-04T15:27:00Z</dcterms:modified>
</cp:coreProperties>
</file>